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b" ContentType="application/vnd.ms-excel.sheet.binary.macroEnabled.12"/>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5E" w:rsidRDefault="00065B5E" w:rsidP="00065B5E">
      <w:pPr>
        <w:jc w:val="center"/>
        <w:rPr>
          <w:b/>
          <w:sz w:val="28"/>
          <w:szCs w:val="28"/>
        </w:rPr>
      </w:pPr>
      <w:r>
        <w:rPr>
          <w:b/>
          <w:sz w:val="28"/>
          <w:szCs w:val="28"/>
        </w:rPr>
        <w:t>Science Friction</w:t>
      </w:r>
      <w:r w:rsidR="00BC2F92">
        <w:rPr>
          <w:b/>
          <w:sz w:val="28"/>
          <w:szCs w:val="28"/>
        </w:rPr>
        <w:t xml:space="preserve"> and More</w:t>
      </w:r>
      <w:r>
        <w:rPr>
          <w:b/>
          <w:sz w:val="28"/>
          <w:szCs w:val="28"/>
        </w:rPr>
        <w:t>:</w:t>
      </w:r>
    </w:p>
    <w:p w:rsidR="00065B5E" w:rsidRDefault="00531E66" w:rsidP="00065B5E">
      <w:pPr>
        <w:jc w:val="center"/>
        <w:rPr>
          <w:b/>
          <w:sz w:val="28"/>
          <w:szCs w:val="28"/>
        </w:rPr>
      </w:pPr>
      <w:r>
        <w:rPr>
          <w:b/>
          <w:sz w:val="28"/>
          <w:szCs w:val="28"/>
        </w:rPr>
        <w:t>Revisiting t</w:t>
      </w:r>
      <w:r w:rsidR="00065B5E">
        <w:rPr>
          <w:b/>
          <w:sz w:val="28"/>
          <w:szCs w:val="28"/>
        </w:rPr>
        <w:t>he</w:t>
      </w:r>
      <w:r w:rsidR="008538FD">
        <w:rPr>
          <w:b/>
          <w:sz w:val="28"/>
          <w:szCs w:val="28"/>
        </w:rPr>
        <w:t xml:space="preserve"> Derivation and Application of an</w:t>
      </w:r>
      <w:r w:rsidR="00065B5E">
        <w:rPr>
          <w:b/>
          <w:sz w:val="28"/>
          <w:szCs w:val="28"/>
        </w:rPr>
        <w:t xml:space="preserve"> Equilibrium Vacancy Rate</w:t>
      </w:r>
    </w:p>
    <w:p w:rsidR="00BC2F92" w:rsidRPr="00531E66" w:rsidRDefault="00BC2F92" w:rsidP="00065B5E">
      <w:pPr>
        <w:jc w:val="center"/>
        <w:rPr>
          <w:i/>
          <w:sz w:val="28"/>
          <w:szCs w:val="28"/>
        </w:rPr>
      </w:pPr>
    </w:p>
    <w:p w:rsidR="00BC2F92" w:rsidRPr="00531E66" w:rsidRDefault="00BC2F92" w:rsidP="00065B5E">
      <w:pPr>
        <w:jc w:val="center"/>
        <w:rPr>
          <w:i/>
          <w:sz w:val="24"/>
          <w:szCs w:val="24"/>
        </w:rPr>
      </w:pPr>
      <w:proofErr w:type="gramStart"/>
      <w:r w:rsidRPr="00531E66">
        <w:rPr>
          <w:i/>
          <w:sz w:val="24"/>
          <w:szCs w:val="24"/>
        </w:rPr>
        <w:t>Richard L. Parli, MAI and Norman G. Miller, Ph.D.</w:t>
      </w:r>
      <w:proofErr w:type="gramEnd"/>
    </w:p>
    <w:p w:rsidR="00065B5E" w:rsidRPr="00531E66" w:rsidRDefault="00531E66" w:rsidP="00065B5E">
      <w:pPr>
        <w:rPr>
          <w:b/>
        </w:rPr>
      </w:pPr>
      <w:r w:rsidRPr="00531E66">
        <w:rPr>
          <w:b/>
        </w:rPr>
        <w:t>Introduction</w:t>
      </w:r>
    </w:p>
    <w:p w:rsidR="00B41AF5" w:rsidRDefault="00913B52" w:rsidP="00913B52">
      <w:r>
        <w:t>T</w:t>
      </w:r>
      <w:r w:rsidR="001A782A">
        <w:t>he primary measure o</w:t>
      </w:r>
      <w:r>
        <w:t xml:space="preserve">f a real estate market’s health is </w:t>
      </w:r>
      <w:r w:rsidR="00B944D0">
        <w:t>frequently</w:t>
      </w:r>
      <w:r>
        <w:t xml:space="preserve"> expressed in one number – the vacancy rate.  A high vacancy rate is bad; a low vacancy rate is good.   High and low, however, are relative terms and</w:t>
      </w:r>
      <w:r w:rsidR="00200D21">
        <w:t>,</w:t>
      </w:r>
      <w:r>
        <w:t xml:space="preserve"> to have meaning</w:t>
      </w:r>
      <w:r w:rsidR="00200D21">
        <w:t>,</w:t>
      </w:r>
      <w:r>
        <w:t xml:space="preserve"> must be compared</w:t>
      </w:r>
      <w:r w:rsidR="00007600">
        <w:t xml:space="preserve"> to something</w:t>
      </w:r>
      <w:r w:rsidR="00200D21">
        <w:t xml:space="preserve">; in other words, </w:t>
      </w:r>
      <w:r>
        <w:t xml:space="preserve">put into context.  The context for a </w:t>
      </w:r>
      <w:r w:rsidR="00080DB6">
        <w:t xml:space="preserve">market </w:t>
      </w:r>
      <w:r>
        <w:t>vacancy rate is the equilibrium vacancy rate</w:t>
      </w:r>
      <w:r w:rsidR="00D716EA">
        <w:t>.</w:t>
      </w:r>
    </w:p>
    <w:p w:rsidR="00B41AF5" w:rsidRDefault="00B41AF5" w:rsidP="00913B52"/>
    <w:p w:rsidR="000E791B" w:rsidRPr="00D716EA" w:rsidRDefault="00A10AF1" w:rsidP="000E791B">
      <w:r>
        <w:t>An equilibrium vacancy rate is that rate which produces no upward or downward pressure on rents.  S</w:t>
      </w:r>
      <w:r w:rsidR="00B41AF5">
        <w:t>ince disequilibrium is manifest</w:t>
      </w:r>
      <w:r w:rsidR="00080DB6">
        <w:t xml:space="preserve">ed </w:t>
      </w:r>
      <w:r w:rsidR="00B41AF5">
        <w:t xml:space="preserve">by rising or falling rents, it stands to reason that equilibrium should be characterized by stable rents.  </w:t>
      </w:r>
      <w:r w:rsidR="000E791B">
        <w:t xml:space="preserve">Comparing a market’s actual vacancy rate with the equilibrium vacancy rate will reveal the condition of that market and </w:t>
      </w:r>
      <w:r w:rsidR="003D23ED">
        <w:t xml:space="preserve">can </w:t>
      </w:r>
      <w:r w:rsidR="000E791B">
        <w:t>indicate the future movement of rents.</w:t>
      </w:r>
      <w:r w:rsidR="000E791B">
        <w:rPr>
          <w:rFonts w:cs="Arial"/>
          <w:szCs w:val="22"/>
        </w:rPr>
        <w:t xml:space="preserve"> </w:t>
      </w:r>
    </w:p>
    <w:p w:rsidR="000E791B" w:rsidRDefault="000E791B" w:rsidP="00A765CB"/>
    <w:p w:rsidR="00065B5E" w:rsidRPr="00D716EA" w:rsidRDefault="00D75089" w:rsidP="00A765CB">
      <w:r>
        <w:t xml:space="preserve">A few </w:t>
      </w:r>
      <w:r w:rsidR="00531E66">
        <w:t>questions arise related to the notion of an</w:t>
      </w:r>
      <w:r>
        <w:t xml:space="preserve"> equilibrium vacancy rate.  Is it different in different markets?  Does it change over time?  T</w:t>
      </w:r>
      <w:r w:rsidR="007C518F">
        <w:t xml:space="preserve">his </w:t>
      </w:r>
      <w:r w:rsidR="00A10AF1">
        <w:t>paper</w:t>
      </w:r>
      <w:r w:rsidR="007C518F">
        <w:t xml:space="preserve"> will present evidence that </w:t>
      </w:r>
      <w:r w:rsidR="00A765CB">
        <w:t>the equilibrium rate is different for different markets and may be different if measured over different time periods</w:t>
      </w:r>
      <w:r w:rsidR="007C518F">
        <w:t xml:space="preserve">.  </w:t>
      </w:r>
      <w:r>
        <w:t xml:space="preserve">In this regard we find that equilibrium vacancy rates in recent cycles are </w:t>
      </w:r>
      <w:r w:rsidR="007360A5">
        <w:t xml:space="preserve">similar to </w:t>
      </w:r>
      <w:r>
        <w:t xml:space="preserve">those discussed in the </w:t>
      </w:r>
      <w:r w:rsidR="007360A5">
        <w:t>prior literature by Pyhrr et al (1990) and Mueller (1999) and others, even though the recent cycle trough (2009-2010) was characterized as one with much less over supply than in previous cycles.</w:t>
      </w:r>
    </w:p>
    <w:p w:rsidR="00CA1592" w:rsidRDefault="00CA1592" w:rsidP="00065B5E">
      <w:pPr>
        <w:rPr>
          <w:rFonts w:cs="Arial"/>
          <w:szCs w:val="22"/>
        </w:rPr>
      </w:pPr>
    </w:p>
    <w:p w:rsidR="00065B5E" w:rsidRDefault="00065B5E" w:rsidP="00065B5E">
      <w:pPr>
        <w:rPr>
          <w:b/>
        </w:rPr>
      </w:pPr>
      <w:r w:rsidRPr="009A55C7">
        <w:rPr>
          <w:rFonts w:cs="Arial"/>
          <w:szCs w:val="22"/>
        </w:rPr>
        <w:t xml:space="preserve">The purpose of this </w:t>
      </w:r>
      <w:r w:rsidR="00A765CB">
        <w:rPr>
          <w:rFonts w:cs="Arial"/>
          <w:szCs w:val="22"/>
        </w:rPr>
        <w:t>paper</w:t>
      </w:r>
      <w:r w:rsidRPr="009A55C7">
        <w:rPr>
          <w:rFonts w:cs="Arial"/>
          <w:szCs w:val="22"/>
        </w:rPr>
        <w:t xml:space="preserve"> </w:t>
      </w:r>
      <w:r w:rsidR="00173935">
        <w:rPr>
          <w:rFonts w:cs="Arial"/>
          <w:szCs w:val="22"/>
        </w:rPr>
        <w:t>is</w:t>
      </w:r>
      <w:r w:rsidRPr="009A55C7">
        <w:rPr>
          <w:rFonts w:cs="Arial"/>
          <w:szCs w:val="22"/>
        </w:rPr>
        <w:t xml:space="preserve"> </w:t>
      </w:r>
      <w:r w:rsidR="000E791B">
        <w:rPr>
          <w:rFonts w:cs="Arial"/>
          <w:szCs w:val="22"/>
        </w:rPr>
        <w:t xml:space="preserve">therefore </w:t>
      </w:r>
      <w:r w:rsidRPr="009A55C7">
        <w:rPr>
          <w:rFonts w:cs="Arial"/>
          <w:szCs w:val="22"/>
        </w:rPr>
        <w:t xml:space="preserve">threefold: 1) To explore the concept of </w:t>
      </w:r>
      <w:r w:rsidR="00790BB9">
        <w:rPr>
          <w:rFonts w:cs="Arial"/>
          <w:szCs w:val="22"/>
        </w:rPr>
        <w:t>equilibrium</w:t>
      </w:r>
      <w:r w:rsidRPr="009A55C7">
        <w:rPr>
          <w:rFonts w:cs="Arial"/>
          <w:szCs w:val="22"/>
        </w:rPr>
        <w:t xml:space="preserve"> vacancy; 2) to propose a method of </w:t>
      </w:r>
      <w:r w:rsidR="00790BB9">
        <w:rPr>
          <w:rFonts w:cs="Arial"/>
          <w:szCs w:val="22"/>
        </w:rPr>
        <w:t>equilibrium</w:t>
      </w:r>
      <w:r w:rsidRPr="009A55C7">
        <w:rPr>
          <w:rFonts w:cs="Arial"/>
          <w:szCs w:val="22"/>
        </w:rPr>
        <w:t xml:space="preserve"> vacancy </w:t>
      </w:r>
      <w:r w:rsidR="000E791B">
        <w:rPr>
          <w:rFonts w:cs="Arial"/>
          <w:szCs w:val="22"/>
        </w:rPr>
        <w:t xml:space="preserve">rate </w:t>
      </w:r>
      <w:r w:rsidRPr="009A55C7">
        <w:rPr>
          <w:rFonts w:cs="Arial"/>
          <w:szCs w:val="22"/>
        </w:rPr>
        <w:t xml:space="preserve">measurement; and, 3) </w:t>
      </w:r>
      <w:r w:rsidR="00BC2F92">
        <w:rPr>
          <w:rFonts w:cs="Arial"/>
          <w:szCs w:val="22"/>
        </w:rPr>
        <w:t xml:space="preserve">to </w:t>
      </w:r>
      <w:r w:rsidR="00C15BB6">
        <w:rPr>
          <w:rFonts w:cs="Arial"/>
          <w:szCs w:val="22"/>
        </w:rPr>
        <w:t xml:space="preserve">explore the applications of </w:t>
      </w:r>
      <w:r w:rsidR="00790BB9">
        <w:rPr>
          <w:rFonts w:cs="Arial"/>
          <w:szCs w:val="22"/>
        </w:rPr>
        <w:t>equilibrium</w:t>
      </w:r>
      <w:r w:rsidRPr="009A55C7">
        <w:rPr>
          <w:rFonts w:cs="Arial"/>
          <w:szCs w:val="22"/>
        </w:rPr>
        <w:t xml:space="preserve"> vaca</w:t>
      </w:r>
      <w:r w:rsidR="007360A5">
        <w:rPr>
          <w:rFonts w:cs="Arial"/>
          <w:szCs w:val="22"/>
        </w:rPr>
        <w:t>ncy as observed in a sample of office markets.</w:t>
      </w:r>
    </w:p>
    <w:p w:rsidR="00065B5E" w:rsidRDefault="00065B5E" w:rsidP="00065B5E">
      <w:pPr>
        <w:rPr>
          <w:b/>
        </w:rPr>
      </w:pPr>
    </w:p>
    <w:p w:rsidR="00065B5E" w:rsidRPr="00777A82" w:rsidRDefault="00CA1592" w:rsidP="00065B5E">
      <w:pPr>
        <w:rPr>
          <w:b/>
        </w:rPr>
      </w:pPr>
      <w:r>
        <w:rPr>
          <w:b/>
        </w:rPr>
        <w:t>Market Equilibrium</w:t>
      </w:r>
      <w:r w:rsidR="007360A5">
        <w:rPr>
          <w:b/>
        </w:rPr>
        <w:t xml:space="preserve"> as Defined in the Literature</w:t>
      </w:r>
    </w:p>
    <w:p w:rsidR="00065B5E" w:rsidRDefault="00065B5E" w:rsidP="00065B5E"/>
    <w:p w:rsidR="00CA1592" w:rsidRDefault="00CA1592" w:rsidP="00065B5E">
      <w:pPr>
        <w:autoSpaceDE w:val="0"/>
      </w:pPr>
      <w:r>
        <w:t xml:space="preserve">Considering its importance to real estate market analysis, the concept of market equilibrium is </w:t>
      </w:r>
      <w:r w:rsidR="001549B8">
        <w:t xml:space="preserve">given little attention in the literature.  Generally, </w:t>
      </w:r>
      <w:r w:rsidR="00D716EA">
        <w:t>market equilibrium</w:t>
      </w:r>
      <w:r>
        <w:t xml:space="preserve"> </w:t>
      </w:r>
      <w:r w:rsidR="001549B8">
        <w:t xml:space="preserve">is </w:t>
      </w:r>
      <w:r w:rsidR="00D716EA">
        <w:t xml:space="preserve">referenced as </w:t>
      </w:r>
      <w:r w:rsidR="001549B8">
        <w:t xml:space="preserve">simply the point where demand and supply are equal.  Often it is treated as if the meaning is self-evident. </w:t>
      </w:r>
      <w:r w:rsidR="00D716EA">
        <w:t xml:space="preserve"> </w:t>
      </w:r>
      <w:r w:rsidR="001549B8">
        <w:lastRenderedPageBreak/>
        <w:t xml:space="preserve">For example, Fanning identifies step five </w:t>
      </w:r>
      <w:r w:rsidR="00C8211E">
        <w:t>of</w:t>
      </w:r>
      <w:r w:rsidR="001549B8">
        <w:t xml:space="preserve"> the Six Step Process as “Analyze Market Equilibrium or Disequilibrium” without defining either term.</w:t>
      </w:r>
      <w:r w:rsidR="001549B8">
        <w:rPr>
          <w:rStyle w:val="FootnoteReference"/>
        </w:rPr>
        <w:footnoteReference w:id="1"/>
      </w:r>
    </w:p>
    <w:p w:rsidR="00CA1592" w:rsidRDefault="00C8211E" w:rsidP="00065B5E">
      <w:pPr>
        <w:autoSpaceDE w:val="0"/>
      </w:pPr>
      <w:r>
        <w:t xml:space="preserve">The Dictionary of Real Estate Appraisal defines </w:t>
      </w:r>
      <w:r>
        <w:rPr>
          <w:i/>
        </w:rPr>
        <w:t>market equilibrium</w:t>
      </w:r>
      <w:r>
        <w:t xml:space="preserve"> this way:</w:t>
      </w:r>
    </w:p>
    <w:p w:rsidR="00080DB6" w:rsidRDefault="00080DB6" w:rsidP="00C8211E">
      <w:pPr>
        <w:autoSpaceDE w:val="0"/>
        <w:spacing w:line="240" w:lineRule="auto"/>
        <w:ind w:left="720" w:right="720"/>
      </w:pPr>
    </w:p>
    <w:p w:rsidR="00C8211E" w:rsidRPr="00C8211E" w:rsidRDefault="00C8211E" w:rsidP="00C8211E">
      <w:pPr>
        <w:autoSpaceDE w:val="0"/>
        <w:spacing w:line="240" w:lineRule="auto"/>
        <w:ind w:left="720" w:right="720"/>
      </w:pPr>
      <w:proofErr w:type="gramStart"/>
      <w:r>
        <w:t>The theoretical balance where demand and supply for a property, good, or service are equal.</w:t>
      </w:r>
      <w:proofErr w:type="gramEnd"/>
      <w:r>
        <w:t xml:space="preserve">  Over the long run, most markets move toward equilibrium, but a balance is seldom achieved for any period of time.</w:t>
      </w:r>
      <w:r>
        <w:rPr>
          <w:rStyle w:val="FootnoteReference"/>
        </w:rPr>
        <w:footnoteReference w:id="2"/>
      </w:r>
    </w:p>
    <w:p w:rsidR="00C8211E" w:rsidRDefault="00C8211E" w:rsidP="00065B5E">
      <w:pPr>
        <w:autoSpaceDE w:val="0"/>
      </w:pPr>
    </w:p>
    <w:p w:rsidR="00080DB6" w:rsidRDefault="00A63AA7" w:rsidP="007360A5">
      <w:pPr>
        <w:autoSpaceDE w:val="0"/>
      </w:pPr>
      <w:r>
        <w:t xml:space="preserve">The above definition seems to dismiss the relationship as merely “theoretical” and </w:t>
      </w:r>
      <w:r w:rsidR="00D716EA">
        <w:t xml:space="preserve">existing </w:t>
      </w:r>
      <w:r>
        <w:t xml:space="preserve">only when supply and demand are “equal.” </w:t>
      </w:r>
      <w:r w:rsidR="008564D2">
        <w:t xml:space="preserve"> If the word “equal” is taken literally, an equilibrium condition is a market without vacancy.  But this conflicts with the concept of frictional vacancy</w:t>
      </w:r>
      <w:r w:rsidR="007360A5">
        <w:t xml:space="preserve"> where there is accommodation for the turnover of occupants and time required for search, contracting, tenant retrofits and moving</w:t>
      </w:r>
      <w:r w:rsidR="008564D2">
        <w:t>.</w:t>
      </w:r>
      <w:r w:rsidR="007360A5">
        <w:t xml:space="preserve">  </w:t>
      </w:r>
      <w:r w:rsidR="00080DB6">
        <w:t>That frictional vacancy is a</w:t>
      </w:r>
      <w:r w:rsidR="00065B5E">
        <w:t xml:space="preserve"> necess</w:t>
      </w:r>
      <w:r w:rsidR="00080DB6">
        <w:t xml:space="preserve">ary </w:t>
      </w:r>
      <w:r w:rsidR="00065B5E">
        <w:t xml:space="preserve">condition – friction actually acting as a lubricant - may first have been identified by </w:t>
      </w:r>
      <w:r w:rsidR="00E005D7">
        <w:t>Hauser &amp; Jaffe (1947) when they pointed out that the “continuous turnover in housing occupancy necessitates a minimum number of vacant units which may be described as frictionally vacant units.”</w:t>
      </w:r>
      <w:r w:rsidR="00E005D7">
        <w:rPr>
          <w:rStyle w:val="FootnoteReference"/>
        </w:rPr>
        <w:footnoteReference w:id="3"/>
      </w:r>
      <w:r w:rsidR="00E005D7">
        <w:t xml:space="preserve">  </w:t>
      </w:r>
      <w:r w:rsidR="007360A5">
        <w:t>Hauser &amp; Jaffe had built upon the work of Homer Hoyt (1933) who had identified time cycles in the Chicago market.</w:t>
      </w:r>
    </w:p>
    <w:p w:rsidR="00080DB6" w:rsidRDefault="00080DB6" w:rsidP="008564D2"/>
    <w:p w:rsidR="00065B5E" w:rsidRPr="00C15BB6" w:rsidRDefault="00080DB6" w:rsidP="008564D2">
      <w:r>
        <w:t>The association of idle assets</w:t>
      </w:r>
      <w:r w:rsidR="00E005D7">
        <w:t xml:space="preserve"> in a market </w:t>
      </w:r>
      <w:r>
        <w:t xml:space="preserve">with </w:t>
      </w:r>
      <w:r w:rsidR="00E005D7">
        <w:t xml:space="preserve">an equilibrium condition </w:t>
      </w:r>
      <w:r w:rsidR="00FC570D">
        <w:t xml:space="preserve">was also </w:t>
      </w:r>
      <w:r w:rsidR="00E005D7">
        <w:t xml:space="preserve">identified by </w:t>
      </w:r>
      <w:r w:rsidR="00065B5E">
        <w:t xml:space="preserve">Milton Friedman (1968) while pointing out that there is some level of </w:t>
      </w:r>
      <w:r w:rsidR="00FC570D">
        <w:t xml:space="preserve">natural </w:t>
      </w:r>
      <w:r w:rsidR="00065B5E">
        <w:t>unemployment that is “consistent with equilibrium in the structure of real wage rates.”</w:t>
      </w:r>
      <w:r w:rsidR="00065B5E">
        <w:rPr>
          <w:rFonts w:ascii="ZWAdobeF" w:hAnsi="ZWAdobeF" w:cs="ZWAdobeF"/>
          <w:spacing w:val="0"/>
          <w:sz w:val="2"/>
          <w:szCs w:val="2"/>
        </w:rPr>
        <w:t>0F</w:t>
      </w:r>
      <w:r w:rsidR="00065B5E">
        <w:rPr>
          <w:rStyle w:val="FootnoteReference"/>
        </w:rPr>
        <w:footnoteReference w:id="4"/>
      </w:r>
      <w:r w:rsidR="00065B5E">
        <w:t xml:space="preserve">  </w:t>
      </w:r>
      <w:proofErr w:type="gramStart"/>
      <w:r w:rsidR="00065B5E">
        <w:t>This</w:t>
      </w:r>
      <w:proofErr w:type="gramEnd"/>
      <w:r w:rsidR="00065B5E">
        <w:t xml:space="preserve"> </w:t>
      </w:r>
      <w:r>
        <w:t xml:space="preserve">equilibrium </w:t>
      </w:r>
      <w:r w:rsidR="00E005D7">
        <w:t>relationship</w:t>
      </w:r>
      <w:r w:rsidR="00065B5E">
        <w:t xml:space="preserve"> </w:t>
      </w:r>
      <w:r>
        <w:t>was</w:t>
      </w:r>
      <w:r w:rsidR="00065B5E">
        <w:t xml:space="preserve"> </w:t>
      </w:r>
      <w:r>
        <w:t xml:space="preserve">extended to </w:t>
      </w:r>
      <w:r w:rsidR="00065B5E">
        <w:t xml:space="preserve">the real estate rental market </w:t>
      </w:r>
      <w:r>
        <w:t>in</w:t>
      </w:r>
      <w:r w:rsidR="00065B5E">
        <w:t xml:space="preserve"> 1974</w:t>
      </w:r>
      <w:r>
        <w:t>, when Smith</w:t>
      </w:r>
      <w:r w:rsidR="00E676E3">
        <w:t>’s research concluded t</w:t>
      </w:r>
      <w:r>
        <w:t>hat</w:t>
      </w:r>
      <w:r w:rsidR="00065B5E">
        <w:t xml:space="preserve"> there is some level of vacancy that is associated with market equilibrium, </w:t>
      </w:r>
      <w:r w:rsidR="00E676E3" w:rsidRPr="00C15BB6">
        <w:t>“at which rents are in equilibrium</w:t>
      </w:r>
      <w:r w:rsidR="00065B5E" w:rsidRPr="00C15BB6">
        <w:t>”.</w:t>
      </w:r>
      <w:r w:rsidR="00065B5E" w:rsidRPr="00C15BB6">
        <w:rPr>
          <w:rStyle w:val="FootnoteReference"/>
        </w:rPr>
        <w:footnoteReference w:id="5"/>
      </w:r>
    </w:p>
    <w:p w:rsidR="00C15BB6" w:rsidRPr="00C15BB6" w:rsidRDefault="00C15BB6" w:rsidP="00C15BB6">
      <w:pPr>
        <w:rPr>
          <w:rFonts w:cs="Arial"/>
          <w:szCs w:val="22"/>
        </w:rPr>
      </w:pPr>
    </w:p>
    <w:p w:rsidR="00C15BB6" w:rsidRDefault="00C15BB6" w:rsidP="00076ABA">
      <w:r w:rsidRPr="00C15BB6">
        <w:rPr>
          <w:rFonts w:cs="Arial"/>
          <w:szCs w:val="22"/>
        </w:rPr>
        <w:t xml:space="preserve">Smith’s later collaboration with Rosen </w:t>
      </w:r>
      <w:r w:rsidR="00076ABA">
        <w:rPr>
          <w:rFonts w:cs="Arial"/>
          <w:szCs w:val="22"/>
        </w:rPr>
        <w:t>showed empirically</w:t>
      </w:r>
      <w:r w:rsidRPr="00C15BB6">
        <w:rPr>
          <w:rFonts w:cs="Arial"/>
          <w:szCs w:val="22"/>
        </w:rPr>
        <w:t xml:space="preserve"> what was meant by rents being in equilibrium</w:t>
      </w:r>
      <w:r w:rsidR="00076ABA">
        <w:rPr>
          <w:rFonts w:cs="Arial"/>
          <w:szCs w:val="22"/>
        </w:rPr>
        <w:t xml:space="preserve"> </w:t>
      </w:r>
      <w:r w:rsidRPr="00076ABA">
        <w:rPr>
          <w:rFonts w:cs="Arial"/>
          <w:szCs w:val="22"/>
        </w:rPr>
        <w:t>– that vacancy rate at which rent changes equal zero.</w:t>
      </w:r>
      <w:r w:rsidR="00076ABA">
        <w:rPr>
          <w:rStyle w:val="FootnoteReference"/>
          <w:rFonts w:cs="Arial"/>
          <w:szCs w:val="22"/>
        </w:rPr>
        <w:footnoteReference w:id="6"/>
      </w:r>
      <w:r w:rsidRPr="00076ABA">
        <w:rPr>
          <w:rFonts w:cs="Arial"/>
          <w:szCs w:val="22"/>
        </w:rPr>
        <w:t xml:space="preserve"> This has been expressed in various ways but with the same meaning: that rate of vacancy that provides landlords with no incentive to adjust rents (Jud &amp; </w:t>
      </w:r>
      <w:proofErr w:type="spellStart"/>
      <w:r w:rsidRPr="00076ABA">
        <w:rPr>
          <w:rFonts w:cs="Arial"/>
          <w:szCs w:val="22"/>
        </w:rPr>
        <w:t>Frew</w:t>
      </w:r>
      <w:proofErr w:type="spellEnd"/>
      <w:r w:rsidRPr="00076ABA">
        <w:rPr>
          <w:rFonts w:cs="Arial"/>
          <w:szCs w:val="22"/>
        </w:rPr>
        <w:t xml:space="preserve"> 1990)</w:t>
      </w:r>
      <w:r w:rsidR="00FC570D">
        <w:rPr>
          <w:rFonts w:cs="Arial"/>
          <w:szCs w:val="22"/>
        </w:rPr>
        <w:t>, (Mueller 1999) and others</w:t>
      </w:r>
      <w:r w:rsidRPr="00076ABA">
        <w:rPr>
          <w:rFonts w:cs="Arial"/>
          <w:szCs w:val="22"/>
        </w:rPr>
        <w:t xml:space="preserve">; the vacancy rate where </w:t>
      </w:r>
      <w:proofErr w:type="gramStart"/>
      <w:r w:rsidRPr="00076ABA">
        <w:rPr>
          <w:rFonts w:cs="Arial"/>
          <w:szCs w:val="22"/>
        </w:rPr>
        <w:lastRenderedPageBreak/>
        <w:t>effective</w:t>
      </w:r>
      <w:proofErr w:type="gramEnd"/>
      <w:r w:rsidRPr="00076ABA">
        <w:rPr>
          <w:rFonts w:cs="Arial"/>
          <w:szCs w:val="22"/>
        </w:rPr>
        <w:t xml:space="preserve"> demand is equal to effective supply (Clapp 1993); a market is in equilibrium when there is no tendency toward changes in prices or quantities (McDonald &amp; McMillan 2011).  </w:t>
      </w:r>
    </w:p>
    <w:p w:rsidR="00C15BB6" w:rsidRDefault="00C15BB6" w:rsidP="00065B5E">
      <w:pPr>
        <w:autoSpaceDE w:val="0"/>
      </w:pPr>
    </w:p>
    <w:p w:rsidR="00DC5C9A" w:rsidRDefault="00561861" w:rsidP="00065B5E">
      <w:pPr>
        <w:rPr>
          <w:rFonts w:cs="Arial"/>
          <w:szCs w:val="22"/>
        </w:rPr>
      </w:pPr>
      <w:r>
        <w:rPr>
          <w:rFonts w:cs="Arial"/>
          <w:szCs w:val="22"/>
        </w:rPr>
        <w:t>S</w:t>
      </w:r>
      <w:r w:rsidR="00E676E3">
        <w:rPr>
          <w:rFonts w:cs="Arial"/>
          <w:szCs w:val="22"/>
        </w:rPr>
        <w:t>t</w:t>
      </w:r>
      <w:r w:rsidR="00DC5C9A">
        <w:rPr>
          <w:rFonts w:cs="Arial"/>
          <w:szCs w:val="22"/>
        </w:rPr>
        <w:t xml:space="preserve">able rental rates </w:t>
      </w:r>
      <w:r w:rsidR="00076ABA">
        <w:rPr>
          <w:rFonts w:cs="Arial"/>
          <w:szCs w:val="22"/>
        </w:rPr>
        <w:t>are t</w:t>
      </w:r>
      <w:r w:rsidR="00E676E3">
        <w:rPr>
          <w:rFonts w:cs="Arial"/>
          <w:szCs w:val="22"/>
        </w:rPr>
        <w:t>herefo</w:t>
      </w:r>
      <w:r w:rsidR="00DC5C9A">
        <w:rPr>
          <w:rFonts w:cs="Arial"/>
          <w:szCs w:val="22"/>
        </w:rPr>
        <w:t xml:space="preserve">re </w:t>
      </w:r>
      <w:r w:rsidR="00E676E3">
        <w:rPr>
          <w:rFonts w:cs="Arial"/>
          <w:szCs w:val="22"/>
        </w:rPr>
        <w:t>a</w:t>
      </w:r>
      <w:r w:rsidR="00DC5C9A">
        <w:rPr>
          <w:rFonts w:cs="Arial"/>
          <w:szCs w:val="22"/>
        </w:rPr>
        <w:t xml:space="preserve"> necessary condition of market equilibrium.  If there is market disequilibrium due to excess supply, there will be downward pressure on rental rates, which stimulates demand for the vacant space.  If the disequilibrium is due to excess demand, there will be upward pressure on rental rates until the demand is diminished (or additional space delivered).</w:t>
      </w:r>
      <w:r>
        <w:rPr>
          <w:rFonts w:cs="Arial"/>
          <w:szCs w:val="22"/>
        </w:rPr>
        <w:t xml:space="preserve">  </w:t>
      </w:r>
      <w:r w:rsidR="00076ABA">
        <w:rPr>
          <w:rFonts w:cs="Arial"/>
          <w:szCs w:val="22"/>
        </w:rPr>
        <w:t xml:space="preserve">Since </w:t>
      </w:r>
      <w:r w:rsidR="00813B2D">
        <w:rPr>
          <w:rFonts w:cs="Arial"/>
          <w:szCs w:val="22"/>
        </w:rPr>
        <w:t xml:space="preserve">stable </w:t>
      </w:r>
      <w:r w:rsidR="00076ABA">
        <w:rPr>
          <w:rFonts w:cs="Arial"/>
          <w:szCs w:val="22"/>
        </w:rPr>
        <w:t>rental rates is</w:t>
      </w:r>
      <w:r>
        <w:rPr>
          <w:rFonts w:cs="Arial"/>
          <w:szCs w:val="22"/>
        </w:rPr>
        <w:t xml:space="preserve"> the only </w:t>
      </w:r>
      <w:r w:rsidR="00076ABA">
        <w:rPr>
          <w:rFonts w:cs="Arial"/>
          <w:szCs w:val="22"/>
        </w:rPr>
        <w:t xml:space="preserve">indispensible </w:t>
      </w:r>
      <w:r>
        <w:rPr>
          <w:rFonts w:cs="Arial"/>
          <w:szCs w:val="22"/>
        </w:rPr>
        <w:t xml:space="preserve">condition </w:t>
      </w:r>
      <w:r w:rsidR="00076ABA">
        <w:rPr>
          <w:rFonts w:cs="Arial"/>
          <w:szCs w:val="22"/>
        </w:rPr>
        <w:t xml:space="preserve">associated with market equilibrium, </w:t>
      </w:r>
      <w:r w:rsidR="005C43D0">
        <w:rPr>
          <w:rFonts w:cs="Arial"/>
          <w:szCs w:val="22"/>
        </w:rPr>
        <w:t>market equilibrium can be defined as the relationship between demand and supply that produces stable rental rates.  This is not a theoretical condition and is certainly not a condition that is seldom achieved.</w:t>
      </w:r>
    </w:p>
    <w:p w:rsidR="00561861" w:rsidRDefault="00561861" w:rsidP="00065B5E">
      <w:pPr>
        <w:rPr>
          <w:rFonts w:cs="Arial"/>
          <w:szCs w:val="22"/>
        </w:rPr>
      </w:pPr>
    </w:p>
    <w:p w:rsidR="005C43D0" w:rsidRPr="00D74199" w:rsidRDefault="005C43D0" w:rsidP="005C43D0">
      <w:pPr>
        <w:rPr>
          <w:b/>
        </w:rPr>
      </w:pPr>
      <w:r w:rsidRPr="00D74199">
        <w:rPr>
          <w:b/>
        </w:rPr>
        <w:t xml:space="preserve">The </w:t>
      </w:r>
      <w:r>
        <w:rPr>
          <w:b/>
        </w:rPr>
        <w:t>Equilibrium</w:t>
      </w:r>
      <w:r w:rsidRPr="00D74199">
        <w:rPr>
          <w:b/>
        </w:rPr>
        <w:t xml:space="preserve"> Vacancy Rate Hypothesis</w:t>
      </w:r>
    </w:p>
    <w:p w:rsidR="005C43D0" w:rsidRDefault="005C43D0" w:rsidP="005C43D0">
      <w:pPr>
        <w:rPr>
          <w:rFonts w:cs="Arial"/>
          <w:szCs w:val="22"/>
        </w:rPr>
      </w:pPr>
    </w:p>
    <w:p w:rsidR="005C43D0" w:rsidRDefault="005C43D0" w:rsidP="005C43D0">
      <w:pPr>
        <w:rPr>
          <w:rFonts w:cs="Arial"/>
          <w:szCs w:val="22"/>
        </w:rPr>
      </w:pPr>
      <w:r w:rsidRPr="009A55C7">
        <w:rPr>
          <w:rFonts w:cs="Arial"/>
          <w:szCs w:val="22"/>
        </w:rPr>
        <w:t xml:space="preserve">Much of the research on </w:t>
      </w:r>
      <w:r>
        <w:rPr>
          <w:rFonts w:cs="Arial"/>
          <w:szCs w:val="22"/>
        </w:rPr>
        <w:t>market equilibrium</w:t>
      </w:r>
      <w:r w:rsidRPr="009A55C7">
        <w:rPr>
          <w:rFonts w:cs="Arial"/>
          <w:szCs w:val="22"/>
        </w:rPr>
        <w:t xml:space="preserve"> has been performed with the expressed goal of proving something that appraisers </w:t>
      </w:r>
      <w:r>
        <w:rPr>
          <w:rFonts w:cs="Arial"/>
          <w:szCs w:val="22"/>
        </w:rPr>
        <w:t xml:space="preserve">generally </w:t>
      </w:r>
      <w:r w:rsidRPr="009A55C7">
        <w:rPr>
          <w:rFonts w:cs="Arial"/>
          <w:szCs w:val="22"/>
        </w:rPr>
        <w:t xml:space="preserve">take for granted: that rental rates respond to vacancy rates (the change in rent is the dependent variable).  The goal of this research was often expressed as a study of the “price-adjustment mechanism” – </w:t>
      </w:r>
      <w:r>
        <w:rPr>
          <w:rFonts w:cs="Arial"/>
          <w:szCs w:val="22"/>
        </w:rPr>
        <w:t xml:space="preserve">i.e., </w:t>
      </w:r>
      <w:r w:rsidRPr="009A55C7">
        <w:rPr>
          <w:rFonts w:cs="Arial"/>
          <w:szCs w:val="22"/>
        </w:rPr>
        <w:t>what causes average rental rates to vary over time and across space?  The consensus conclusion is that the rate of change in rents is partly determined by the deviation of short-run vacancy rates from their long-run or “n</w:t>
      </w:r>
      <w:r>
        <w:rPr>
          <w:rFonts w:cs="Arial"/>
          <w:szCs w:val="22"/>
        </w:rPr>
        <w:t>ormal</w:t>
      </w:r>
      <w:r w:rsidRPr="009A55C7">
        <w:rPr>
          <w:rFonts w:cs="Arial"/>
          <w:szCs w:val="22"/>
        </w:rPr>
        <w:t>” level</w:t>
      </w:r>
      <w:r w:rsidR="00461414">
        <w:rPr>
          <w:rFonts w:cs="Arial"/>
          <w:szCs w:val="22"/>
        </w:rPr>
        <w:t>, and partly due to market-wide inflationary/deflationary pressures</w:t>
      </w:r>
      <w:r w:rsidRPr="009A55C7">
        <w:rPr>
          <w:rFonts w:cs="Arial"/>
          <w:szCs w:val="22"/>
        </w:rPr>
        <w:t>. As more research has been completed, the role of vacancy has been</w:t>
      </w:r>
      <w:r>
        <w:rPr>
          <w:rFonts w:cs="Arial"/>
          <w:szCs w:val="22"/>
        </w:rPr>
        <w:t xml:space="preserve"> generally </w:t>
      </w:r>
      <w:r w:rsidRPr="009A55C7">
        <w:rPr>
          <w:rFonts w:cs="Arial"/>
          <w:szCs w:val="22"/>
        </w:rPr>
        <w:t xml:space="preserve">accepted as the dominant influence on </w:t>
      </w:r>
      <w:r w:rsidR="00DA02D9">
        <w:rPr>
          <w:rFonts w:cs="Arial"/>
          <w:szCs w:val="22"/>
        </w:rPr>
        <w:t xml:space="preserve">real </w:t>
      </w:r>
      <w:r w:rsidRPr="009A55C7">
        <w:rPr>
          <w:rFonts w:cs="Arial"/>
          <w:szCs w:val="22"/>
        </w:rPr>
        <w:t xml:space="preserve">rent change. </w:t>
      </w:r>
    </w:p>
    <w:p w:rsidR="00E676E3" w:rsidRDefault="00E676E3" w:rsidP="00DC7139"/>
    <w:p w:rsidR="00DC7139" w:rsidRDefault="00DC7139" w:rsidP="00DC7139">
      <w:pPr>
        <w:rPr>
          <w:rFonts w:cs="Arial"/>
          <w:szCs w:val="22"/>
        </w:rPr>
      </w:pPr>
      <w:r>
        <w:t xml:space="preserve">In short, the equilibrium vacancy rate hypothesis is that </w:t>
      </w:r>
      <w:r>
        <w:rPr>
          <w:rFonts w:cs="Arial"/>
          <w:szCs w:val="22"/>
        </w:rPr>
        <w:t xml:space="preserve">there must be a </w:t>
      </w:r>
      <w:r w:rsidR="00813B2D">
        <w:rPr>
          <w:rFonts w:cs="Arial"/>
          <w:szCs w:val="22"/>
        </w:rPr>
        <w:t>market</w:t>
      </w:r>
      <w:r>
        <w:rPr>
          <w:rFonts w:cs="Arial"/>
          <w:szCs w:val="22"/>
        </w:rPr>
        <w:t xml:space="preserve"> vacancy rate where demand and supply are </w:t>
      </w:r>
      <w:r w:rsidR="00813B2D">
        <w:rPr>
          <w:rFonts w:cs="Arial"/>
          <w:szCs w:val="22"/>
        </w:rPr>
        <w:t xml:space="preserve">effectively </w:t>
      </w:r>
      <w:r>
        <w:rPr>
          <w:rFonts w:cs="Arial"/>
          <w:szCs w:val="22"/>
        </w:rPr>
        <w:t>equal</w:t>
      </w:r>
      <w:r w:rsidR="00813B2D">
        <w:rPr>
          <w:rFonts w:cs="Arial"/>
          <w:szCs w:val="22"/>
        </w:rPr>
        <w:t>ized.</w:t>
      </w:r>
      <w:r w:rsidR="00F04F66">
        <w:rPr>
          <w:rFonts w:cs="Arial"/>
          <w:szCs w:val="22"/>
        </w:rPr>
        <w:t xml:space="preserve"> </w:t>
      </w:r>
      <w:r w:rsidR="00813B2D">
        <w:rPr>
          <w:rFonts w:cs="Arial"/>
          <w:szCs w:val="22"/>
        </w:rPr>
        <w:t xml:space="preserve"> As a corollary, </w:t>
      </w:r>
      <w:r w:rsidR="00813B2D">
        <w:t>the movement of rents in a market is inversely related to the vacancy rate of that market and</w:t>
      </w:r>
      <w:r>
        <w:rPr>
          <w:rFonts w:cs="Arial"/>
          <w:szCs w:val="22"/>
        </w:rPr>
        <w:t xml:space="preserve"> movement away from equilibrium can produce </w:t>
      </w:r>
      <w:proofErr w:type="gramStart"/>
      <w:r>
        <w:rPr>
          <w:rFonts w:cs="Arial"/>
          <w:szCs w:val="22"/>
        </w:rPr>
        <w:t>either</w:t>
      </w:r>
      <w:r w:rsidR="00DA02D9">
        <w:rPr>
          <w:rFonts w:cs="Arial"/>
          <w:szCs w:val="22"/>
        </w:rPr>
        <w:t xml:space="preserve"> </w:t>
      </w:r>
      <w:r>
        <w:rPr>
          <w:rFonts w:cs="Arial"/>
          <w:szCs w:val="22"/>
        </w:rPr>
        <w:t>upward and</w:t>
      </w:r>
      <w:proofErr w:type="gramEnd"/>
      <w:r>
        <w:rPr>
          <w:rFonts w:cs="Arial"/>
          <w:szCs w:val="22"/>
        </w:rPr>
        <w:t xml:space="preserve"> downward pressure on rental rates.  T</w:t>
      </w:r>
      <w:r w:rsidR="003421D3">
        <w:rPr>
          <w:rFonts w:cs="Arial"/>
          <w:szCs w:val="22"/>
        </w:rPr>
        <w:t>o date, t</w:t>
      </w:r>
      <w:r>
        <w:rPr>
          <w:rFonts w:cs="Arial"/>
          <w:szCs w:val="22"/>
        </w:rPr>
        <w:t xml:space="preserve">he research on identifying </w:t>
      </w:r>
      <w:r w:rsidR="00813B2D">
        <w:rPr>
          <w:rFonts w:cs="Arial"/>
          <w:szCs w:val="22"/>
        </w:rPr>
        <w:t>a market’s equilibrium vacancy</w:t>
      </w:r>
      <w:r>
        <w:rPr>
          <w:rFonts w:cs="Arial"/>
          <w:szCs w:val="22"/>
        </w:rPr>
        <w:t xml:space="preserve"> rate has been performed almost exclusively by the scholarly community.</w:t>
      </w:r>
    </w:p>
    <w:p w:rsidR="00DC7139" w:rsidRDefault="00DC7139" w:rsidP="00314564">
      <w:pPr>
        <w:rPr>
          <w:b/>
        </w:rPr>
      </w:pPr>
    </w:p>
    <w:p w:rsidR="004711DE" w:rsidRDefault="004711DE" w:rsidP="00314564">
      <w:pPr>
        <w:rPr>
          <w:b/>
        </w:rPr>
      </w:pPr>
    </w:p>
    <w:p w:rsidR="004711DE" w:rsidRDefault="004711DE">
      <w:pPr>
        <w:rPr>
          <w:b/>
        </w:rPr>
      </w:pPr>
      <w:r>
        <w:rPr>
          <w:b/>
        </w:rPr>
        <w:br w:type="page"/>
      </w:r>
    </w:p>
    <w:p w:rsidR="00F46D21" w:rsidRPr="00D74199" w:rsidRDefault="00DA02D9" w:rsidP="00314564">
      <w:pPr>
        <w:rPr>
          <w:b/>
        </w:rPr>
      </w:pPr>
      <w:r>
        <w:rPr>
          <w:b/>
        </w:rPr>
        <w:lastRenderedPageBreak/>
        <w:t xml:space="preserve">Building Upon the Prior Models of Rents as Impacted by Vacancy Rates </w:t>
      </w:r>
    </w:p>
    <w:p w:rsidR="00F46D21" w:rsidRDefault="00F46D21" w:rsidP="00314564"/>
    <w:p w:rsidR="004006E7" w:rsidRDefault="00777A82" w:rsidP="00201969">
      <w:r w:rsidRPr="000822E0">
        <w:t xml:space="preserve">With few exceptions, the </w:t>
      </w:r>
      <w:r w:rsidR="009B65CA" w:rsidRPr="000822E0">
        <w:t xml:space="preserve">scholarly </w:t>
      </w:r>
      <w:r w:rsidRPr="000822E0">
        <w:t>literature provides empirical support for the existence of a</w:t>
      </w:r>
      <w:r w:rsidR="007B3D3E" w:rsidRPr="000822E0">
        <w:t>n</w:t>
      </w:r>
      <w:r w:rsidRPr="000822E0">
        <w:t xml:space="preserve"> </w:t>
      </w:r>
      <w:r w:rsidR="00FE2D1D" w:rsidRPr="000822E0">
        <w:t>equilibrium</w:t>
      </w:r>
      <w:r w:rsidRPr="000822E0">
        <w:t xml:space="preserve"> vacancy rate</w:t>
      </w:r>
      <w:r w:rsidR="004006E7">
        <w:t xml:space="preserve">. The </w:t>
      </w:r>
      <w:r w:rsidR="003421D3">
        <w:t xml:space="preserve">research has relied upon historical </w:t>
      </w:r>
      <w:r w:rsidR="00B1409D" w:rsidRPr="000822E0">
        <w:t xml:space="preserve">vacancy rates </w:t>
      </w:r>
      <w:r w:rsidR="003421D3">
        <w:t>linked to published rental rates</w:t>
      </w:r>
      <w:r w:rsidR="004006E7">
        <w:t xml:space="preserve">.  </w:t>
      </w:r>
      <w:r w:rsidR="003421D3">
        <w:t>There is no known wa</w:t>
      </w:r>
      <w:r w:rsidR="00CF736F">
        <w:t>y</w:t>
      </w:r>
      <w:r w:rsidR="003421D3">
        <w:t xml:space="preserve"> to forecast an equilibrium vacancy rate; it</w:t>
      </w:r>
      <w:r w:rsidR="00B1409D" w:rsidRPr="000822E0">
        <w:t xml:space="preserve"> must be inferred or extracted from the histor</w:t>
      </w:r>
      <w:r w:rsidR="003421D3">
        <w:t>ical record</w:t>
      </w:r>
      <w:r w:rsidR="00B1409D" w:rsidRPr="000822E0">
        <w:t xml:space="preserve">. </w:t>
      </w:r>
      <w:r w:rsidR="00201969" w:rsidRPr="000822E0">
        <w:t xml:space="preserve"> </w:t>
      </w:r>
    </w:p>
    <w:p w:rsidR="004006E7" w:rsidRDefault="004006E7" w:rsidP="00201969"/>
    <w:p w:rsidR="00F46D21" w:rsidRDefault="00F46D21" w:rsidP="00314564">
      <w:r>
        <w:t xml:space="preserve">Rosen and Smith (1983) </w:t>
      </w:r>
      <w:r w:rsidR="00DA02D9">
        <w:t xml:space="preserve">had a goal </w:t>
      </w:r>
      <w:r>
        <w:t>to uncover the components of the rent-adjustment mechanism for a particular property type (in th</w:t>
      </w:r>
      <w:r w:rsidR="009B65CA">
        <w:t>eir</w:t>
      </w:r>
      <w:r>
        <w:t xml:space="preserve"> case, rental housing).  Based on the hypothesis that excess supply or excess </w:t>
      </w:r>
      <w:r w:rsidR="009E13D3">
        <w:t>demand determines</w:t>
      </w:r>
      <w:r>
        <w:t xml:space="preserve"> the rate of change of rent, Rosen and Smith expressed the rent adjustment mechanism as</w:t>
      </w:r>
      <w:r w:rsidR="004D5123">
        <w:t xml:space="preserve"> a function of operating expenses and vacancy</w:t>
      </w:r>
      <w:r>
        <w:t>:</w:t>
      </w:r>
    </w:p>
    <w:p w:rsidR="00DA02D9" w:rsidRDefault="00DA02D9" w:rsidP="00314564"/>
    <w:p w:rsidR="00F46D21" w:rsidRPr="009B65CA" w:rsidRDefault="00F46D21" w:rsidP="00314564">
      <w:pPr>
        <w:ind w:left="2880" w:firstLine="720"/>
        <w:rPr>
          <w:rFonts w:ascii="Times New Roman" w:hAnsi="Times New Roman"/>
        </w:rPr>
      </w:pPr>
      <w:r w:rsidRPr="00DA479E">
        <w:rPr>
          <w:rFonts w:ascii="Times New Roman" w:hAnsi="Times New Roman"/>
          <w:i/>
          <w:sz w:val="24"/>
          <w:szCs w:val="24"/>
        </w:rPr>
        <w:t>R</w:t>
      </w:r>
      <w:r w:rsidRPr="00DA479E">
        <w:rPr>
          <w:rFonts w:ascii="Times New Roman" w:hAnsi="Times New Roman"/>
          <w:i/>
          <w:sz w:val="24"/>
          <w:szCs w:val="24"/>
          <w:vertAlign w:val="subscript"/>
        </w:rPr>
        <w:t>n</w:t>
      </w:r>
      <w:r w:rsidRPr="00DA479E">
        <w:rPr>
          <w:rFonts w:ascii="Times New Roman" w:hAnsi="Times New Roman"/>
          <w:i/>
          <w:sz w:val="24"/>
          <w:szCs w:val="24"/>
        </w:rPr>
        <w:t xml:space="preserve"> = </w:t>
      </w:r>
      <w:proofErr w:type="gramStart"/>
      <w:r w:rsidR="004D5123">
        <w:rPr>
          <w:rFonts w:ascii="Times New Roman" w:hAnsi="Times New Roman"/>
          <w:i/>
          <w:sz w:val="24"/>
          <w:szCs w:val="24"/>
        </w:rPr>
        <w:t>ƒ</w:t>
      </w:r>
      <w:r w:rsidRPr="00DA479E">
        <w:rPr>
          <w:rFonts w:ascii="Times New Roman" w:hAnsi="Times New Roman"/>
          <w:i/>
          <w:sz w:val="24"/>
          <w:szCs w:val="24"/>
        </w:rPr>
        <w:t>(</w:t>
      </w:r>
      <w:proofErr w:type="gramEnd"/>
      <w:r w:rsidRPr="00DA479E">
        <w:rPr>
          <w:rFonts w:ascii="Times New Roman" w:hAnsi="Times New Roman"/>
          <w:i/>
          <w:sz w:val="24"/>
          <w:szCs w:val="24"/>
        </w:rPr>
        <w:t xml:space="preserve">E, </w:t>
      </w:r>
      <w:proofErr w:type="spellStart"/>
      <w:r w:rsidRPr="00DA479E">
        <w:rPr>
          <w:rFonts w:ascii="Times New Roman" w:hAnsi="Times New Roman"/>
          <w:i/>
          <w:sz w:val="24"/>
          <w:szCs w:val="24"/>
        </w:rPr>
        <w:t>V</w:t>
      </w:r>
      <w:r w:rsidR="00FE2D1D">
        <w:rPr>
          <w:rFonts w:ascii="Times New Roman" w:hAnsi="Times New Roman"/>
          <w:i/>
          <w:sz w:val="24"/>
          <w:szCs w:val="24"/>
          <w:vertAlign w:val="subscript"/>
        </w:rPr>
        <w:t>e</w:t>
      </w:r>
      <w:proofErr w:type="spellEnd"/>
      <w:r w:rsidRPr="00DA479E">
        <w:rPr>
          <w:rFonts w:ascii="Times New Roman" w:hAnsi="Times New Roman"/>
          <w:i/>
          <w:sz w:val="24"/>
          <w:szCs w:val="24"/>
        </w:rPr>
        <w:t xml:space="preserve">  ̶  V)</w:t>
      </w:r>
      <w:r w:rsidR="009B65CA" w:rsidRPr="00DA479E">
        <w:rPr>
          <w:rFonts w:ascii="Times New Roman" w:hAnsi="Times New Roman"/>
          <w:sz w:val="24"/>
          <w:szCs w:val="24"/>
        </w:rPr>
        <w:tab/>
      </w:r>
      <w:r w:rsidR="009B65CA">
        <w:rPr>
          <w:rFonts w:ascii="Times New Roman" w:hAnsi="Times New Roman"/>
        </w:rPr>
        <w:tab/>
      </w:r>
      <w:r w:rsidR="009B65CA">
        <w:rPr>
          <w:rFonts w:ascii="Times New Roman" w:hAnsi="Times New Roman"/>
        </w:rPr>
        <w:tab/>
      </w:r>
      <w:r w:rsidR="009B65CA">
        <w:rPr>
          <w:rFonts w:ascii="Times New Roman" w:hAnsi="Times New Roman"/>
        </w:rPr>
        <w:tab/>
        <w:t xml:space="preserve">  </w:t>
      </w:r>
      <w:r w:rsidR="009B65CA">
        <w:rPr>
          <w:rFonts w:ascii="Times New Roman" w:hAnsi="Times New Roman"/>
        </w:rPr>
        <w:tab/>
        <w:t>(1)</w:t>
      </w:r>
    </w:p>
    <w:p w:rsidR="00F46D21" w:rsidRDefault="00F46D21" w:rsidP="00314564"/>
    <w:p w:rsidR="00F46D21" w:rsidRDefault="00F46D21" w:rsidP="00314564">
      <w:r>
        <w:t>where</w:t>
      </w:r>
      <w:r w:rsidRPr="007A7E89">
        <w:rPr>
          <w:rFonts w:ascii="Times New Roman" w:hAnsi="Times New Roman"/>
          <w:i/>
        </w:rPr>
        <w:t xml:space="preserve"> </w:t>
      </w:r>
      <w:r>
        <w:rPr>
          <w:rFonts w:ascii="Times New Roman" w:hAnsi="Times New Roman"/>
          <w:i/>
        </w:rPr>
        <w:t>R</w:t>
      </w:r>
      <w:r>
        <w:rPr>
          <w:rFonts w:ascii="Times New Roman" w:hAnsi="Times New Roman"/>
          <w:i/>
          <w:vertAlign w:val="subscript"/>
        </w:rPr>
        <w:t>n</w:t>
      </w:r>
      <w:r w:rsidRPr="005843F8">
        <w:rPr>
          <w:rFonts w:ascii="Times New Roman" w:hAnsi="Times New Roman"/>
          <w:i/>
        </w:rPr>
        <w:t xml:space="preserve"> </w:t>
      </w:r>
      <w:r>
        <w:rPr>
          <w:rFonts w:cs="Arial"/>
        </w:rPr>
        <w:t xml:space="preserve">is the rate of change of nominal rent, </w:t>
      </w:r>
      <w:r>
        <w:rPr>
          <w:rFonts w:ascii="Times New Roman" w:hAnsi="Times New Roman"/>
          <w:i/>
        </w:rPr>
        <w:t>E</w:t>
      </w:r>
      <w:r>
        <w:t xml:space="preserve"> is the rate of change of total operating expenses (intended to reflect the nominal price influences on </w:t>
      </w:r>
      <w:r>
        <w:rPr>
          <w:rFonts w:ascii="Times New Roman" w:hAnsi="Times New Roman"/>
          <w:i/>
        </w:rPr>
        <w:t>R</w:t>
      </w:r>
      <w:r>
        <w:rPr>
          <w:rFonts w:ascii="Times New Roman" w:hAnsi="Times New Roman"/>
          <w:i/>
          <w:vertAlign w:val="subscript"/>
        </w:rPr>
        <w:t>n</w:t>
      </w:r>
      <w:r>
        <w:t xml:space="preserve">), </w:t>
      </w:r>
      <w:r>
        <w:rPr>
          <w:rFonts w:ascii="Times New Roman" w:hAnsi="Times New Roman"/>
          <w:i/>
        </w:rPr>
        <w:t xml:space="preserve">V </w:t>
      </w:r>
      <w:r>
        <w:t>is the actual vacancy rate</w:t>
      </w:r>
      <w:r w:rsidR="00AE2B0D">
        <w:t>,</w:t>
      </w:r>
      <w:r>
        <w:t xml:space="preserve"> and </w:t>
      </w:r>
      <w:proofErr w:type="spellStart"/>
      <w:r>
        <w:rPr>
          <w:rFonts w:ascii="Times New Roman" w:hAnsi="Times New Roman"/>
          <w:i/>
        </w:rPr>
        <w:t>V</w:t>
      </w:r>
      <w:r w:rsidR="00FE2D1D">
        <w:rPr>
          <w:rFonts w:ascii="Times New Roman" w:hAnsi="Times New Roman"/>
          <w:i/>
          <w:vertAlign w:val="subscript"/>
        </w:rPr>
        <w:t>e</w:t>
      </w:r>
      <w:proofErr w:type="spellEnd"/>
      <w:r w:rsidR="007A671D">
        <w:rPr>
          <w:rFonts w:ascii="Times New Roman" w:hAnsi="Times New Roman"/>
          <w:i/>
          <w:vertAlign w:val="subscript"/>
        </w:rPr>
        <w:t xml:space="preserve"> </w:t>
      </w:r>
      <w:r>
        <w:rPr>
          <w:rFonts w:ascii="Times New Roman" w:hAnsi="Times New Roman"/>
          <w:i/>
        </w:rPr>
        <w:t xml:space="preserve"> </w:t>
      </w:r>
      <w:r>
        <w:t xml:space="preserve">is the </w:t>
      </w:r>
      <w:r w:rsidR="00AE2B0D">
        <w:t xml:space="preserve">equilibrium rate (which they called the </w:t>
      </w:r>
      <w:r w:rsidR="00B4033F">
        <w:rPr>
          <w:i/>
        </w:rPr>
        <w:t>natural</w:t>
      </w:r>
      <w:r w:rsidR="00AE2B0D">
        <w:t xml:space="preserve"> </w:t>
      </w:r>
      <w:r w:rsidR="00AE2B0D" w:rsidRPr="00AE2B0D">
        <w:rPr>
          <w:i/>
        </w:rPr>
        <w:t>rate</w:t>
      </w:r>
      <w:r w:rsidR="00AE2B0D">
        <w:t>)</w:t>
      </w:r>
      <w:r>
        <w:t xml:space="preserve">.  Assuming a constant </w:t>
      </w:r>
      <w:r w:rsidR="00AE2B0D">
        <w:t>equilibrium v</w:t>
      </w:r>
      <w:r>
        <w:t xml:space="preserve">acancy rate over the study period, the regression equation </w:t>
      </w:r>
      <w:r w:rsidR="00AE2B0D">
        <w:t>becomes</w:t>
      </w:r>
      <w:r>
        <w:t>:</w:t>
      </w:r>
    </w:p>
    <w:p w:rsidR="00F46D21" w:rsidRDefault="00F46D21" w:rsidP="00314564"/>
    <w:p w:rsidR="00F46D21" w:rsidRDefault="00F46D21" w:rsidP="00314564">
      <w:pPr>
        <w:ind w:left="2880" w:firstLine="720"/>
        <w:rPr>
          <w:rFonts w:ascii="Times New Roman" w:hAnsi="Times New Roman"/>
        </w:rPr>
      </w:pPr>
      <w:r w:rsidRPr="00DA479E">
        <w:rPr>
          <w:rFonts w:ascii="Times New Roman" w:hAnsi="Times New Roman"/>
          <w:i/>
          <w:sz w:val="24"/>
          <w:szCs w:val="24"/>
        </w:rPr>
        <w:t>R</w:t>
      </w:r>
      <w:r w:rsidRPr="00DA479E">
        <w:rPr>
          <w:rFonts w:ascii="Times New Roman" w:hAnsi="Times New Roman"/>
          <w:i/>
          <w:sz w:val="24"/>
          <w:szCs w:val="24"/>
          <w:vertAlign w:val="subscript"/>
        </w:rPr>
        <w:t>n</w:t>
      </w:r>
      <w:r w:rsidRPr="00DA479E">
        <w:rPr>
          <w:rFonts w:ascii="Times New Roman" w:hAnsi="Times New Roman"/>
          <w:i/>
          <w:sz w:val="24"/>
          <w:szCs w:val="24"/>
        </w:rPr>
        <w:t xml:space="preserve"> = b</w:t>
      </w:r>
      <w:r w:rsidRPr="00DA479E">
        <w:rPr>
          <w:rFonts w:ascii="Times New Roman" w:hAnsi="Times New Roman"/>
          <w:i/>
          <w:sz w:val="24"/>
          <w:szCs w:val="24"/>
          <w:vertAlign w:val="subscript"/>
        </w:rPr>
        <w:t xml:space="preserve">0 </w:t>
      </w:r>
      <w:r w:rsidRPr="00DA479E">
        <w:rPr>
          <w:rFonts w:ascii="Times New Roman" w:hAnsi="Times New Roman"/>
          <w:i/>
          <w:sz w:val="24"/>
          <w:szCs w:val="24"/>
        </w:rPr>
        <w:t>– b</w:t>
      </w:r>
      <w:r w:rsidRPr="00DA479E">
        <w:rPr>
          <w:rFonts w:ascii="Times New Roman" w:hAnsi="Times New Roman"/>
          <w:i/>
          <w:sz w:val="24"/>
          <w:szCs w:val="24"/>
          <w:vertAlign w:val="subscript"/>
        </w:rPr>
        <w:t>1</w:t>
      </w:r>
      <w:r w:rsidRPr="00DA479E">
        <w:rPr>
          <w:rFonts w:ascii="Times New Roman" w:hAnsi="Times New Roman"/>
          <w:i/>
          <w:sz w:val="24"/>
          <w:szCs w:val="24"/>
        </w:rPr>
        <w:t>V + b</w:t>
      </w:r>
      <w:r w:rsidRPr="00DA479E">
        <w:rPr>
          <w:rFonts w:ascii="Times New Roman" w:hAnsi="Times New Roman"/>
          <w:i/>
          <w:sz w:val="24"/>
          <w:szCs w:val="24"/>
          <w:vertAlign w:val="subscript"/>
        </w:rPr>
        <w:t>2</w:t>
      </w:r>
      <w:r w:rsidRPr="00DA479E">
        <w:rPr>
          <w:rFonts w:ascii="Times New Roman" w:hAnsi="Times New Roman"/>
          <w:i/>
          <w:sz w:val="24"/>
          <w:szCs w:val="24"/>
        </w:rPr>
        <w:t>E</w:t>
      </w:r>
      <w:r w:rsidR="009B65CA">
        <w:rPr>
          <w:rFonts w:ascii="Times New Roman" w:hAnsi="Times New Roman"/>
          <w:i/>
        </w:rPr>
        <w:tab/>
      </w:r>
      <w:r w:rsidR="009B65CA">
        <w:rPr>
          <w:rFonts w:ascii="Times New Roman" w:hAnsi="Times New Roman"/>
          <w:i/>
        </w:rPr>
        <w:tab/>
      </w:r>
      <w:r w:rsidR="009B65CA">
        <w:rPr>
          <w:rFonts w:ascii="Times New Roman" w:hAnsi="Times New Roman"/>
          <w:i/>
        </w:rPr>
        <w:tab/>
      </w:r>
      <w:r w:rsidR="009B65CA">
        <w:rPr>
          <w:rFonts w:ascii="Times New Roman" w:hAnsi="Times New Roman"/>
          <w:i/>
        </w:rPr>
        <w:tab/>
      </w:r>
      <w:r w:rsidR="009B65CA">
        <w:rPr>
          <w:rFonts w:ascii="Times New Roman" w:hAnsi="Times New Roman"/>
        </w:rPr>
        <w:tab/>
        <w:t>(2)</w:t>
      </w:r>
    </w:p>
    <w:p w:rsidR="00B775DE" w:rsidRPr="009B65CA" w:rsidRDefault="00B775DE" w:rsidP="00314564">
      <w:pPr>
        <w:ind w:left="2880" w:firstLine="720"/>
        <w:rPr>
          <w:rFonts w:ascii="Times New Roman" w:hAnsi="Times New Roman"/>
        </w:rPr>
      </w:pPr>
    </w:p>
    <w:p w:rsidR="00F46D21" w:rsidRDefault="00E521FA" w:rsidP="00314564">
      <w:r>
        <w:t xml:space="preserve">Given that </w:t>
      </w:r>
      <w:r w:rsidRPr="00DA479E">
        <w:rPr>
          <w:rFonts w:ascii="Times New Roman" w:hAnsi="Times New Roman"/>
          <w:i/>
          <w:sz w:val="24"/>
          <w:szCs w:val="24"/>
        </w:rPr>
        <w:t>b</w:t>
      </w:r>
      <w:r w:rsidRPr="00DA479E">
        <w:rPr>
          <w:rFonts w:ascii="Times New Roman" w:hAnsi="Times New Roman"/>
          <w:i/>
          <w:sz w:val="24"/>
          <w:szCs w:val="24"/>
          <w:vertAlign w:val="subscript"/>
        </w:rPr>
        <w:t>1</w:t>
      </w:r>
      <w:r>
        <w:rPr>
          <w:rFonts w:ascii="Times New Roman" w:hAnsi="Times New Roman"/>
          <w:i/>
          <w:sz w:val="24"/>
          <w:szCs w:val="24"/>
          <w:vertAlign w:val="subscript"/>
        </w:rPr>
        <w:t xml:space="preserve"> </w:t>
      </w:r>
      <w:r w:rsidRPr="00E521FA">
        <w:rPr>
          <w:rFonts w:cs="Arial"/>
          <w:szCs w:val="22"/>
        </w:rPr>
        <w:t>and</w:t>
      </w:r>
      <w:r w:rsidRPr="00E521FA">
        <w:rPr>
          <w:rFonts w:cs="Arial"/>
          <w:i/>
          <w:szCs w:val="22"/>
        </w:rPr>
        <w:t xml:space="preserve"> </w:t>
      </w:r>
      <w:r w:rsidRPr="00DA479E">
        <w:rPr>
          <w:rFonts w:ascii="Times New Roman" w:hAnsi="Times New Roman"/>
          <w:i/>
          <w:sz w:val="24"/>
          <w:szCs w:val="24"/>
        </w:rPr>
        <w:t>b</w:t>
      </w:r>
      <w:r w:rsidRPr="00DA479E">
        <w:rPr>
          <w:rFonts w:ascii="Times New Roman" w:hAnsi="Times New Roman"/>
          <w:i/>
          <w:sz w:val="24"/>
          <w:szCs w:val="24"/>
          <w:vertAlign w:val="subscript"/>
        </w:rPr>
        <w:t>2</w:t>
      </w:r>
      <w:r>
        <w:rPr>
          <w:rFonts w:ascii="Times New Roman" w:hAnsi="Times New Roman"/>
          <w:i/>
          <w:sz w:val="24"/>
          <w:szCs w:val="24"/>
          <w:vertAlign w:val="subscript"/>
        </w:rPr>
        <w:t xml:space="preserve"> </w:t>
      </w:r>
      <w:r w:rsidRPr="00E521FA">
        <w:rPr>
          <w:rFonts w:cs="Arial"/>
          <w:szCs w:val="22"/>
        </w:rPr>
        <w:t>are positive numbers</w:t>
      </w:r>
      <w:r>
        <w:rPr>
          <w:rFonts w:ascii="Times New Roman" w:hAnsi="Times New Roman"/>
          <w:sz w:val="24"/>
          <w:szCs w:val="24"/>
        </w:rPr>
        <w:t>, t</w:t>
      </w:r>
      <w:r w:rsidR="00AE2B0D">
        <w:t>he equilibrium</w:t>
      </w:r>
      <w:r w:rsidR="00F46D21">
        <w:t xml:space="preserve"> vacancy rate is determined by solving for </w:t>
      </w:r>
      <w:r w:rsidR="00F46D21" w:rsidRPr="008F381C">
        <w:rPr>
          <w:rFonts w:ascii="Times New Roman" w:hAnsi="Times New Roman"/>
          <w:i/>
        </w:rPr>
        <w:t>V</w:t>
      </w:r>
      <w:r w:rsidR="00F46D21">
        <w:t xml:space="preserve"> when</w:t>
      </w:r>
      <w:r w:rsidR="00F46D21" w:rsidRPr="008F381C">
        <w:rPr>
          <w:rFonts w:ascii="Times New Roman" w:hAnsi="Times New Roman"/>
          <w:i/>
        </w:rPr>
        <w:t xml:space="preserve"> </w:t>
      </w:r>
      <w:r w:rsidR="00F46D21">
        <w:rPr>
          <w:rFonts w:ascii="Times New Roman" w:hAnsi="Times New Roman"/>
          <w:i/>
        </w:rPr>
        <w:t>R</w:t>
      </w:r>
      <w:r w:rsidR="00F46D21">
        <w:rPr>
          <w:rFonts w:ascii="Times New Roman" w:hAnsi="Times New Roman"/>
          <w:i/>
          <w:vertAlign w:val="subscript"/>
        </w:rPr>
        <w:t>n</w:t>
      </w:r>
      <w:r w:rsidR="00F46D21">
        <w:rPr>
          <w:rFonts w:cs="Arial"/>
          <w:i/>
        </w:rPr>
        <w:t xml:space="preserve"> </w:t>
      </w:r>
      <w:r w:rsidR="00F46D21">
        <w:rPr>
          <w:rFonts w:cs="Arial"/>
        </w:rPr>
        <w:t xml:space="preserve">is zero.  </w:t>
      </w:r>
      <w:r w:rsidR="00F46D21">
        <w:t>Although the practic</w:t>
      </w:r>
      <w:r w:rsidR="009B65CA">
        <w:t xml:space="preserve">al application is limited, it is important to realize </w:t>
      </w:r>
      <w:r w:rsidR="00F46D21">
        <w:t xml:space="preserve">that the formula expresses the expectation that rent change in a market is a function of the interaction of </w:t>
      </w:r>
      <w:r w:rsidR="00B1409D">
        <w:t>multiple</w:t>
      </w:r>
      <w:r w:rsidR="00F46D21">
        <w:t xml:space="preserve"> nominal price influences</w:t>
      </w:r>
      <w:r w:rsidR="00B1409D">
        <w:t>,</w:t>
      </w:r>
      <w:r w:rsidR="00F46D21">
        <w:t xml:space="preserve"> </w:t>
      </w:r>
      <w:r w:rsidR="00B1409D">
        <w:t xml:space="preserve">plus </w:t>
      </w:r>
      <w:r w:rsidR="00F46D21">
        <w:t xml:space="preserve">the relationship of </w:t>
      </w:r>
      <w:r w:rsidR="00AE2B0D">
        <w:t>equilibrium</w:t>
      </w:r>
      <w:r w:rsidR="00F46D21">
        <w:t xml:space="preserve"> vacancy with actual vacancy.  </w:t>
      </w:r>
    </w:p>
    <w:p w:rsidR="00F46D21" w:rsidRDefault="00F46D21" w:rsidP="00314564"/>
    <w:p w:rsidR="00F46D21" w:rsidRDefault="00F46D21" w:rsidP="00314564">
      <w:r>
        <w:t>Virtually all subsequent studies used a rent change equation</w:t>
      </w:r>
      <w:r w:rsidR="00B1409D">
        <w:t xml:space="preserve"> similar to (2)</w:t>
      </w:r>
      <w:r>
        <w:t xml:space="preserve">.   Wheaton and </w:t>
      </w:r>
      <w:proofErr w:type="spellStart"/>
      <w:r>
        <w:t>Torto</w:t>
      </w:r>
      <w:proofErr w:type="spellEnd"/>
      <w:r>
        <w:t xml:space="preserve"> (1988), however, simplified the equation by using real rent (as opposed to nominal rent) as the dependent variable, thereby (theoretically) eliminating the need to specifically include operating costs </w:t>
      </w:r>
      <w:r w:rsidR="00AE2B0D">
        <w:t>(</w:t>
      </w:r>
      <w:r w:rsidR="00B1409D">
        <w:t>on the theory that</w:t>
      </w:r>
      <w:r>
        <w:t xml:space="preserve"> real rent would capture the inflationary</w:t>
      </w:r>
      <w:r w:rsidR="00AE2B0D">
        <w:t>/deflationary changes</w:t>
      </w:r>
      <w:r>
        <w:t xml:space="preserve"> in operating costs</w:t>
      </w:r>
      <w:r w:rsidR="00AE2B0D">
        <w:t>)</w:t>
      </w:r>
      <w:r>
        <w:t>. The resultant regression equation from this approach is as follows:</w:t>
      </w:r>
    </w:p>
    <w:p w:rsidR="00C5144B" w:rsidRDefault="00C5144B" w:rsidP="00314564"/>
    <w:p w:rsidR="00B1409D" w:rsidRPr="009B65CA" w:rsidRDefault="00B1409D" w:rsidP="00314564">
      <w:pPr>
        <w:ind w:left="2880" w:firstLine="720"/>
        <w:rPr>
          <w:rFonts w:ascii="Times New Roman" w:hAnsi="Times New Roman"/>
        </w:rPr>
      </w:pPr>
      <w:proofErr w:type="gramStart"/>
      <w:r w:rsidRPr="00DA479E">
        <w:rPr>
          <w:rFonts w:ascii="Times New Roman" w:hAnsi="Times New Roman"/>
          <w:i/>
          <w:sz w:val="24"/>
          <w:szCs w:val="24"/>
        </w:rPr>
        <w:t>R</w:t>
      </w:r>
      <w:r w:rsidRPr="00DA479E">
        <w:rPr>
          <w:rFonts w:ascii="Times New Roman" w:hAnsi="Times New Roman"/>
          <w:i/>
          <w:sz w:val="24"/>
          <w:szCs w:val="24"/>
          <w:vertAlign w:val="subscript"/>
        </w:rPr>
        <w:t>r</w:t>
      </w:r>
      <w:proofErr w:type="gramEnd"/>
      <w:r w:rsidRPr="00DA479E">
        <w:rPr>
          <w:rFonts w:ascii="Times New Roman" w:hAnsi="Times New Roman"/>
          <w:i/>
          <w:sz w:val="24"/>
          <w:szCs w:val="24"/>
        </w:rPr>
        <w:t xml:space="preserve"> = b</w:t>
      </w:r>
      <w:r w:rsidRPr="00DA479E">
        <w:rPr>
          <w:rFonts w:ascii="Times New Roman" w:hAnsi="Times New Roman"/>
          <w:i/>
          <w:sz w:val="24"/>
          <w:szCs w:val="24"/>
          <w:vertAlign w:val="subscript"/>
        </w:rPr>
        <w:t xml:space="preserve">0 </w:t>
      </w:r>
      <w:r w:rsidRPr="00DA479E">
        <w:rPr>
          <w:rFonts w:ascii="Times New Roman" w:hAnsi="Times New Roman"/>
          <w:i/>
          <w:sz w:val="24"/>
          <w:szCs w:val="24"/>
        </w:rPr>
        <w:t>– b</w:t>
      </w:r>
      <w:r w:rsidRPr="00DA479E">
        <w:rPr>
          <w:rFonts w:ascii="Times New Roman" w:hAnsi="Times New Roman"/>
          <w:i/>
          <w:sz w:val="24"/>
          <w:szCs w:val="24"/>
          <w:vertAlign w:val="subscript"/>
        </w:rPr>
        <w:t>1</w:t>
      </w:r>
      <w:r w:rsidRPr="00DA479E">
        <w:rPr>
          <w:rFonts w:ascii="Times New Roman" w:hAnsi="Times New Roman"/>
          <w:i/>
          <w:sz w:val="24"/>
          <w:szCs w:val="24"/>
        </w:rPr>
        <w:t>V</w:t>
      </w:r>
      <w:r w:rsidRPr="00DA479E">
        <w:rPr>
          <w:rFonts w:ascii="Times New Roman" w:hAnsi="Times New Roman"/>
          <w:i/>
          <w:sz w:val="24"/>
          <w:szCs w:val="24"/>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ab/>
      </w:r>
      <w:r>
        <w:rPr>
          <w:rFonts w:ascii="Times New Roman" w:hAnsi="Times New Roman"/>
        </w:rPr>
        <w:tab/>
        <w:t>(3)</w:t>
      </w:r>
    </w:p>
    <w:p w:rsidR="00F46D21" w:rsidRDefault="00F46D21" w:rsidP="00314564"/>
    <w:p w:rsidR="00B1409D" w:rsidRDefault="00F46D21" w:rsidP="00314564">
      <w:proofErr w:type="gramStart"/>
      <w:r>
        <w:lastRenderedPageBreak/>
        <w:t>w</w:t>
      </w:r>
      <w:r w:rsidRPr="007A7E89">
        <w:rPr>
          <w:rFonts w:cs="Arial"/>
        </w:rPr>
        <w:t>here</w:t>
      </w:r>
      <w:proofErr w:type="gramEnd"/>
      <w:r w:rsidRPr="007A7E89">
        <w:rPr>
          <w:rFonts w:cs="Arial"/>
        </w:rPr>
        <w:t xml:space="preserve"> </w:t>
      </w:r>
      <w:r w:rsidRPr="00423CDD">
        <w:rPr>
          <w:rFonts w:ascii="Times New Roman" w:hAnsi="Times New Roman"/>
          <w:i/>
        </w:rPr>
        <w:t>R</w:t>
      </w:r>
      <w:r w:rsidR="00B1409D">
        <w:rPr>
          <w:rFonts w:ascii="Times New Roman" w:hAnsi="Times New Roman"/>
          <w:i/>
          <w:vertAlign w:val="subscript"/>
        </w:rPr>
        <w:t>r</w:t>
      </w:r>
      <w:r w:rsidRPr="00423CDD">
        <w:rPr>
          <w:rFonts w:ascii="Times New Roman" w:hAnsi="Times New Roman"/>
        </w:rPr>
        <w:t xml:space="preserve"> </w:t>
      </w:r>
      <w:r w:rsidRPr="007A7E89">
        <w:rPr>
          <w:rFonts w:cs="Arial"/>
        </w:rPr>
        <w:t>is the change in real rent</w:t>
      </w:r>
      <w:r w:rsidR="00353456">
        <w:rPr>
          <w:rFonts w:cs="Arial"/>
        </w:rPr>
        <w:t xml:space="preserve">. </w:t>
      </w:r>
      <w:r w:rsidRPr="007A7E89">
        <w:rPr>
          <w:rFonts w:cs="Arial"/>
        </w:rPr>
        <w:t xml:space="preserve"> If </w:t>
      </w:r>
      <w:proofErr w:type="gramStart"/>
      <w:r w:rsidR="00B1409D" w:rsidRPr="00423CDD">
        <w:rPr>
          <w:rFonts w:ascii="Times New Roman" w:hAnsi="Times New Roman"/>
          <w:i/>
        </w:rPr>
        <w:t>R</w:t>
      </w:r>
      <w:r w:rsidR="00B1409D">
        <w:rPr>
          <w:rFonts w:ascii="Times New Roman" w:hAnsi="Times New Roman"/>
          <w:i/>
          <w:vertAlign w:val="subscript"/>
        </w:rPr>
        <w:t>r</w:t>
      </w:r>
      <w:proofErr w:type="gramEnd"/>
      <w:r w:rsidRPr="007A7E89">
        <w:rPr>
          <w:rFonts w:cs="Arial"/>
        </w:rPr>
        <w:t xml:space="preserve"> is zero, then the</w:t>
      </w:r>
      <w:r w:rsidR="00AE2B0D">
        <w:rPr>
          <w:rFonts w:cs="Arial"/>
        </w:rPr>
        <w:t xml:space="preserve"> </w:t>
      </w:r>
      <w:r w:rsidR="002F46F6">
        <w:rPr>
          <w:rFonts w:cs="Arial"/>
        </w:rPr>
        <w:t>equilibrium</w:t>
      </w:r>
      <w:r w:rsidRPr="007A7E89">
        <w:rPr>
          <w:rFonts w:cs="Arial"/>
        </w:rPr>
        <w:t xml:space="preserve"> vacancy rate is expressed by the following formula</w:t>
      </w:r>
      <w:r>
        <w:rPr>
          <w:rFonts w:cs="Arial"/>
        </w:rPr>
        <w:t>:</w:t>
      </w:r>
      <w:r>
        <w:t xml:space="preserve"> </w:t>
      </w:r>
    </w:p>
    <w:p w:rsidR="00353456" w:rsidRDefault="00353456" w:rsidP="00314564">
      <w:pPr>
        <w:rPr>
          <w:rFonts w:ascii="Times New Roman" w:hAnsi="Times New Roman"/>
          <w:i/>
        </w:rPr>
      </w:pPr>
    </w:p>
    <w:p w:rsidR="00F46D21" w:rsidRPr="00B1409D" w:rsidRDefault="00F46D21" w:rsidP="00314564">
      <w:pPr>
        <w:ind w:left="2880" w:firstLine="720"/>
      </w:pPr>
      <w:proofErr w:type="spellStart"/>
      <w:r w:rsidRPr="00DA479E">
        <w:rPr>
          <w:rFonts w:ascii="Times New Roman" w:hAnsi="Times New Roman"/>
          <w:i/>
          <w:sz w:val="24"/>
          <w:szCs w:val="24"/>
        </w:rPr>
        <w:t>V</w:t>
      </w:r>
      <w:r w:rsidR="000822E0">
        <w:rPr>
          <w:rFonts w:ascii="Times New Roman" w:hAnsi="Times New Roman"/>
          <w:i/>
          <w:sz w:val="24"/>
          <w:szCs w:val="24"/>
          <w:vertAlign w:val="subscript"/>
        </w:rPr>
        <w:t>n</w:t>
      </w:r>
      <w:proofErr w:type="spellEnd"/>
      <w:r w:rsidRPr="00DA479E">
        <w:rPr>
          <w:rFonts w:ascii="Times New Roman" w:hAnsi="Times New Roman"/>
          <w:i/>
          <w:sz w:val="24"/>
          <w:szCs w:val="24"/>
        </w:rPr>
        <w:t xml:space="preserve"> = b</w:t>
      </w:r>
      <w:r w:rsidRPr="00DA479E">
        <w:rPr>
          <w:rFonts w:ascii="Times New Roman" w:hAnsi="Times New Roman"/>
          <w:i/>
          <w:sz w:val="24"/>
          <w:szCs w:val="24"/>
          <w:vertAlign w:val="subscript"/>
        </w:rPr>
        <w:t xml:space="preserve">0 </w:t>
      </w:r>
      <w:r w:rsidRPr="00DA479E">
        <w:rPr>
          <w:rFonts w:ascii="Times New Roman" w:hAnsi="Times New Roman"/>
          <w:i/>
          <w:sz w:val="24"/>
          <w:szCs w:val="24"/>
        </w:rPr>
        <w:t>÷</w:t>
      </w:r>
      <w:r w:rsidRPr="00DA479E">
        <w:rPr>
          <w:rFonts w:ascii="Times New Roman" w:hAnsi="Times New Roman"/>
          <w:i/>
          <w:sz w:val="24"/>
          <w:szCs w:val="24"/>
          <w:vertAlign w:val="subscript"/>
        </w:rPr>
        <w:t xml:space="preserve"> </w:t>
      </w:r>
      <w:r w:rsidRPr="00DA479E">
        <w:rPr>
          <w:rFonts w:ascii="Times New Roman" w:hAnsi="Times New Roman"/>
          <w:i/>
          <w:sz w:val="24"/>
          <w:szCs w:val="24"/>
        </w:rPr>
        <w:t>b</w:t>
      </w:r>
      <w:r w:rsidRPr="00DA479E">
        <w:rPr>
          <w:rFonts w:ascii="Times New Roman" w:hAnsi="Times New Roman"/>
          <w:i/>
          <w:sz w:val="24"/>
          <w:szCs w:val="24"/>
          <w:vertAlign w:val="subscript"/>
        </w:rPr>
        <w:t>1</w:t>
      </w:r>
      <w:r w:rsidR="00B1409D">
        <w:rPr>
          <w:rFonts w:ascii="Times New Roman" w:hAnsi="Times New Roman"/>
          <w:i/>
          <w:vertAlign w:val="subscript"/>
        </w:rPr>
        <w:tab/>
      </w:r>
      <w:r w:rsidR="00B1409D">
        <w:rPr>
          <w:rFonts w:ascii="Times New Roman" w:hAnsi="Times New Roman"/>
          <w:i/>
          <w:vertAlign w:val="subscript"/>
        </w:rPr>
        <w:tab/>
      </w:r>
      <w:r w:rsidR="00B1409D">
        <w:rPr>
          <w:rFonts w:ascii="Times New Roman" w:hAnsi="Times New Roman"/>
          <w:i/>
          <w:vertAlign w:val="subscript"/>
        </w:rPr>
        <w:tab/>
      </w:r>
      <w:r w:rsidR="00B1409D">
        <w:rPr>
          <w:rFonts w:ascii="Times New Roman" w:hAnsi="Times New Roman"/>
          <w:i/>
          <w:vertAlign w:val="subscript"/>
        </w:rPr>
        <w:tab/>
      </w:r>
      <w:r w:rsidR="00B1409D">
        <w:rPr>
          <w:rFonts w:ascii="Times New Roman" w:hAnsi="Times New Roman"/>
          <w:i/>
          <w:vertAlign w:val="subscript"/>
        </w:rPr>
        <w:tab/>
      </w:r>
      <w:r w:rsidR="00B1409D">
        <w:rPr>
          <w:rFonts w:ascii="Times New Roman" w:hAnsi="Times New Roman"/>
          <w:i/>
          <w:vertAlign w:val="subscript"/>
        </w:rPr>
        <w:tab/>
      </w:r>
      <w:r w:rsidR="00B1409D">
        <w:rPr>
          <w:rFonts w:ascii="Times New Roman" w:hAnsi="Times New Roman"/>
        </w:rPr>
        <w:t>(4)</w:t>
      </w:r>
    </w:p>
    <w:p w:rsidR="00F46D21" w:rsidRDefault="00F46D21" w:rsidP="00314564"/>
    <w:p w:rsidR="0040256F" w:rsidRPr="00F46D21" w:rsidRDefault="0040256F" w:rsidP="00314564">
      <w:r>
        <w:t xml:space="preserve">Over the years, the research has produced at least 15 published studies that estimated the </w:t>
      </w:r>
      <w:r w:rsidR="009A3264">
        <w:t>equilibrium</w:t>
      </w:r>
      <w:r>
        <w:t xml:space="preserve"> vacancy rate for many different communities and for many different time periods. The results range from 4.4% to 22.3%.</w:t>
      </w:r>
      <w:r w:rsidR="00626BBB">
        <w:t xml:space="preserve"> </w:t>
      </w:r>
      <w:r>
        <w:t xml:space="preserve"> All have relied upon historical data that was often up to a decade old.  As the understanding of the cause of </w:t>
      </w:r>
      <w:r w:rsidR="009A3264">
        <w:t>equilibrium</w:t>
      </w:r>
      <w:r>
        <w:t xml:space="preserve"> vacancy </w:t>
      </w:r>
      <w:proofErr w:type="gramStart"/>
      <w:r>
        <w:t xml:space="preserve">advanced  </w:t>
      </w:r>
      <w:r>
        <w:rPr>
          <w:rFonts w:cs="Arial"/>
        </w:rPr>
        <w:t>̶</w:t>
      </w:r>
      <w:proofErr w:type="gramEnd"/>
      <w:r>
        <w:rPr>
          <w:rFonts w:cs="Arial"/>
        </w:rPr>
        <w:t xml:space="preserve">  </w:t>
      </w:r>
      <w:r>
        <w:t xml:space="preserve">morphing from direct landlord control to pure market response  </w:t>
      </w:r>
      <w:r>
        <w:rPr>
          <w:rFonts w:cs="Arial"/>
        </w:rPr>
        <w:t xml:space="preserve">̶  </w:t>
      </w:r>
      <w:r>
        <w:t xml:space="preserve">the results presumably became more accurate and more credible through a refinement of the methodology.  </w:t>
      </w:r>
      <w:r w:rsidR="00777957">
        <w:t xml:space="preserve">Although the studies </w:t>
      </w:r>
      <w:r w:rsidR="00B4033F">
        <w:t xml:space="preserve">may </w:t>
      </w:r>
      <w:r w:rsidR="00777957">
        <w:t>differ in</w:t>
      </w:r>
      <w:r>
        <w:t xml:space="preserve"> methodology</w:t>
      </w:r>
      <w:r w:rsidR="00777957">
        <w:t>, they</w:t>
      </w:r>
      <w:r>
        <w:t xml:space="preserve"> all agree that </w:t>
      </w:r>
      <w:proofErr w:type="gramStart"/>
      <w:r>
        <w:t xml:space="preserve">variations from the </w:t>
      </w:r>
      <w:r w:rsidR="009A3264">
        <w:t>equilibrium</w:t>
      </w:r>
      <w:r>
        <w:t xml:space="preserve"> vacancy rate is</w:t>
      </w:r>
      <w:proofErr w:type="gramEnd"/>
      <w:r>
        <w:t xml:space="preserve"> a primary cause of rent change; the degree of influence is the </w:t>
      </w:r>
      <w:r w:rsidR="00777957">
        <w:t xml:space="preserve">big </w:t>
      </w:r>
      <w:r>
        <w:t xml:space="preserve">difference </w:t>
      </w:r>
      <w:r w:rsidR="00777957">
        <w:t>among</w:t>
      </w:r>
      <w:r>
        <w:t xml:space="preserve"> studies. </w:t>
      </w:r>
    </w:p>
    <w:p w:rsidR="0040256F" w:rsidRDefault="0040256F" w:rsidP="00314564"/>
    <w:p w:rsidR="00A67483" w:rsidRDefault="002A50FF">
      <w:r>
        <w:t xml:space="preserve">In summary, </w:t>
      </w:r>
      <w:r w:rsidR="000B5B81">
        <w:t>the</w:t>
      </w:r>
      <w:r w:rsidR="00A67483" w:rsidRPr="009A55C7">
        <w:rPr>
          <w:rFonts w:cs="Arial"/>
          <w:szCs w:val="22"/>
        </w:rPr>
        <w:t xml:space="preserve"> scholarly research beg</w:t>
      </w:r>
      <w:r w:rsidR="00A67483">
        <w:rPr>
          <w:rFonts w:cs="Arial"/>
          <w:szCs w:val="22"/>
        </w:rPr>
        <w:t>an</w:t>
      </w:r>
      <w:r w:rsidR="00A67483" w:rsidRPr="009A55C7">
        <w:rPr>
          <w:rFonts w:cs="Arial"/>
          <w:szCs w:val="22"/>
        </w:rPr>
        <w:t xml:space="preserve"> with the goal of determining what combination of independent variables account for most changes in rent.  As research evolved, the focus became how best to determine the vacancy rate that results in no change in rent.  </w:t>
      </w:r>
      <w:r w:rsidR="000B5B81">
        <w:rPr>
          <w:rFonts w:cs="Arial"/>
          <w:szCs w:val="22"/>
        </w:rPr>
        <w:t>T</w:t>
      </w:r>
      <w:r w:rsidR="00C010C7">
        <w:t xml:space="preserve">he </w:t>
      </w:r>
      <w:r w:rsidR="00F1320E">
        <w:t>typical</w:t>
      </w:r>
      <w:r w:rsidR="00B775DE">
        <w:t xml:space="preserve"> </w:t>
      </w:r>
      <w:r>
        <w:t xml:space="preserve">derivation of the </w:t>
      </w:r>
      <w:r w:rsidR="000B5B81">
        <w:t xml:space="preserve">equilibrium vacancy </w:t>
      </w:r>
      <w:r>
        <w:t xml:space="preserve">rate </w:t>
      </w:r>
      <w:r w:rsidR="000B5B81">
        <w:t xml:space="preserve">has </w:t>
      </w:r>
      <w:r w:rsidR="00F1320E">
        <w:t xml:space="preserve">been to </w:t>
      </w:r>
      <w:r w:rsidR="000B5B81">
        <w:t>employ</w:t>
      </w:r>
      <w:r>
        <w:t xml:space="preserve"> regression analysis.  The evolution of the methodology has settled on Formula (3), </w:t>
      </w:r>
      <w:r w:rsidR="000B5B81">
        <w:t>relating</w:t>
      </w:r>
      <w:r>
        <w:t xml:space="preserve"> the change in real rent </w:t>
      </w:r>
      <w:r w:rsidR="000B5B81">
        <w:t>to</w:t>
      </w:r>
      <w:r>
        <w:t xml:space="preserve"> the level of vacancy.</w:t>
      </w:r>
      <w:r w:rsidR="000B5B81">
        <w:t xml:space="preserve"> </w:t>
      </w:r>
    </w:p>
    <w:p w:rsidR="00B775DE" w:rsidRDefault="00B775DE"/>
    <w:p w:rsidR="00F14864" w:rsidRDefault="00F1320E" w:rsidP="00314564">
      <w:r>
        <w:rPr>
          <w:b/>
        </w:rPr>
        <w:t>Additional Literature Reflecting on Equilibrium Vacancy</w:t>
      </w:r>
    </w:p>
    <w:p w:rsidR="00F14864" w:rsidRDefault="00F14864" w:rsidP="00314564"/>
    <w:p w:rsidR="0096458C" w:rsidRDefault="00F14864" w:rsidP="00A83058">
      <w:pPr>
        <w:autoSpaceDE w:val="0"/>
      </w:pPr>
      <w:r>
        <w:t>The earliest</w:t>
      </w:r>
      <w:r w:rsidR="00A83058">
        <w:t xml:space="preserve">, and one of the few, </w:t>
      </w:r>
      <w:r>
        <w:t>reference to</w:t>
      </w:r>
      <w:r w:rsidR="00BF1CB0">
        <w:t xml:space="preserve"> a</w:t>
      </w:r>
      <w:r w:rsidR="00A83058">
        <w:t>n equilibrium</w:t>
      </w:r>
      <w:r w:rsidR="00A10DD5">
        <w:t xml:space="preserve"> </w:t>
      </w:r>
      <w:r>
        <w:t xml:space="preserve">vacancy </w:t>
      </w:r>
      <w:r w:rsidR="00BF1CB0">
        <w:t>rate</w:t>
      </w:r>
      <w:r>
        <w:t xml:space="preserve"> </w:t>
      </w:r>
      <w:r w:rsidR="00A10DD5">
        <w:t xml:space="preserve">in the market analysis literature </w:t>
      </w:r>
      <w:r w:rsidR="00BF1CB0">
        <w:t xml:space="preserve">is found in </w:t>
      </w:r>
      <w:r>
        <w:t>Clapp (1987)</w:t>
      </w:r>
      <w:r w:rsidR="00EA1A98">
        <w:t>.</w:t>
      </w:r>
      <w:r w:rsidR="00355828">
        <w:rPr>
          <w:rFonts w:ascii="ZWAdobeF" w:hAnsi="ZWAdobeF" w:cs="ZWAdobeF"/>
          <w:spacing w:val="0"/>
          <w:sz w:val="2"/>
          <w:szCs w:val="2"/>
        </w:rPr>
        <w:t>8</w:t>
      </w:r>
      <w:r w:rsidR="00EA1A98">
        <w:t xml:space="preserve">  Referred to as “normal” vacancy, it was </w:t>
      </w:r>
      <w:r w:rsidR="00870E8A">
        <w:t>defined</w:t>
      </w:r>
      <w:r w:rsidR="00EA1A98">
        <w:t xml:space="preserve"> as </w:t>
      </w:r>
      <w:r w:rsidR="00870E8A">
        <w:t xml:space="preserve">the </w:t>
      </w:r>
      <w:r w:rsidR="00EA1A98">
        <w:t xml:space="preserve">long run </w:t>
      </w:r>
      <w:r w:rsidR="00A10DD5">
        <w:t xml:space="preserve">average </w:t>
      </w:r>
      <w:r w:rsidR="00EA1A98">
        <w:t>vacancy rate in the local market</w:t>
      </w:r>
      <w:r w:rsidR="00A10DD5">
        <w:t>, adjusted “to reflect recent information on interest rates and expected demand growth.”</w:t>
      </w:r>
      <w:r w:rsidR="000B5B81" w:rsidRPr="000B5B81">
        <w:rPr>
          <w:rFonts w:ascii="ZWAdobeF" w:hAnsi="ZWAdobeF" w:cs="ZWAdobeF"/>
          <w:spacing w:val="0"/>
          <w:sz w:val="2"/>
          <w:szCs w:val="2"/>
        </w:rPr>
        <w:t xml:space="preserve"> </w:t>
      </w:r>
      <w:r w:rsidR="000B5B81">
        <w:rPr>
          <w:rFonts w:ascii="ZWAdobeF" w:hAnsi="ZWAdobeF" w:cs="ZWAdobeF"/>
          <w:spacing w:val="0"/>
          <w:sz w:val="2"/>
          <w:szCs w:val="2"/>
        </w:rPr>
        <w:t>F</w:t>
      </w:r>
      <w:r w:rsidR="000B5B81">
        <w:rPr>
          <w:rStyle w:val="FootnoteReference"/>
        </w:rPr>
        <w:footnoteReference w:id="7"/>
      </w:r>
      <w:r w:rsidR="00EA1A98">
        <w:t xml:space="preserve">  </w:t>
      </w:r>
    </w:p>
    <w:p w:rsidR="0096458C" w:rsidRDefault="0096458C" w:rsidP="00314564">
      <w:pPr>
        <w:widowControl w:val="0"/>
      </w:pPr>
    </w:p>
    <w:p w:rsidR="0079185A" w:rsidRDefault="00FF78BF" w:rsidP="00355828">
      <w:pPr>
        <w:widowControl w:val="0"/>
        <w:autoSpaceDE w:val="0"/>
      </w:pPr>
      <w:r>
        <w:t xml:space="preserve">Anthony </w:t>
      </w:r>
      <w:r w:rsidR="0079185A">
        <w:t>Downs</w:t>
      </w:r>
      <w:r>
        <w:t xml:space="preserve"> did considerable research concerning the </w:t>
      </w:r>
      <w:r w:rsidR="00A83058">
        <w:t>vacancy</w:t>
      </w:r>
      <w:r>
        <w:t xml:space="preserve"> that impact</w:t>
      </w:r>
      <w:r w:rsidR="00A83058">
        <w:t>s</w:t>
      </w:r>
      <w:r>
        <w:t xml:space="preserve"> the housing and office markets.  In </w:t>
      </w:r>
      <w:r>
        <w:rPr>
          <w:i/>
        </w:rPr>
        <w:t xml:space="preserve">Cycles in Office Space Markets </w:t>
      </w:r>
      <w:r w:rsidR="0079185A">
        <w:t xml:space="preserve">(1993) </w:t>
      </w:r>
      <w:r w:rsidR="003B65CD">
        <w:t xml:space="preserve">he </w:t>
      </w:r>
      <w:r w:rsidR="00D0327C">
        <w:t xml:space="preserve">recognized that construction of new space was linked to an </w:t>
      </w:r>
      <w:r w:rsidR="00087400">
        <w:t>“</w:t>
      </w:r>
      <w:r w:rsidR="00D0327C">
        <w:t>equilibr</w:t>
      </w:r>
      <w:r w:rsidR="003B65CD">
        <w:t>ium vacancy rate</w:t>
      </w:r>
      <w:r w:rsidR="00087400">
        <w:t>”</w:t>
      </w:r>
      <w:r w:rsidR="003B65CD">
        <w:t xml:space="preserve">, stating that </w:t>
      </w:r>
      <w:r w:rsidR="00D0327C">
        <w:t>an imbalance due to oversupply “will cause a cessation of new construction projects.”</w:t>
      </w:r>
      <w:r w:rsidR="00355828">
        <w:rPr>
          <w:rFonts w:ascii="ZWAdobeF" w:hAnsi="ZWAdobeF" w:cs="ZWAdobeF"/>
          <w:spacing w:val="0"/>
          <w:sz w:val="2"/>
          <w:szCs w:val="2"/>
        </w:rPr>
        <w:t>11F</w:t>
      </w:r>
      <w:r w:rsidR="00D0327C">
        <w:rPr>
          <w:rStyle w:val="FootnoteReference"/>
        </w:rPr>
        <w:footnoteReference w:id="8"/>
      </w:r>
      <w:r w:rsidR="00D0327C">
        <w:t xml:space="preserve"> </w:t>
      </w:r>
      <w:r w:rsidR="009A3264">
        <w:t xml:space="preserve"> </w:t>
      </w:r>
      <w:r w:rsidR="00F1320E">
        <w:t xml:space="preserve"> Glenn Mueller extended and </w:t>
      </w:r>
      <w:r w:rsidR="00F1320E">
        <w:lastRenderedPageBreak/>
        <w:t>commercialized such analysis in his widely disseminated cycle reports by property type and market in his Cycle Monitor.</w:t>
      </w:r>
      <w:r w:rsidR="00F1320E">
        <w:rPr>
          <w:rStyle w:val="FootnoteReference"/>
        </w:rPr>
        <w:footnoteReference w:id="9"/>
      </w:r>
      <w:r w:rsidR="00F1320E">
        <w:t xml:space="preserve">  </w:t>
      </w:r>
    </w:p>
    <w:p w:rsidR="00BF1CB0" w:rsidRDefault="00BF1CB0" w:rsidP="00314564">
      <w:pPr>
        <w:widowControl w:val="0"/>
      </w:pPr>
    </w:p>
    <w:p w:rsidR="00EF0B6B" w:rsidRDefault="00E06A56" w:rsidP="00355828">
      <w:pPr>
        <w:widowControl w:val="0"/>
        <w:autoSpaceDE w:val="0"/>
      </w:pPr>
      <w:r>
        <w:t xml:space="preserve">Fanning, Grissom and Pearson (1994) </w:t>
      </w:r>
      <w:r w:rsidR="00736E34">
        <w:t xml:space="preserve">provide three case studies and each one </w:t>
      </w:r>
      <w:proofErr w:type="gramStart"/>
      <w:r w:rsidR="00736E34">
        <w:t>references</w:t>
      </w:r>
      <w:proofErr w:type="gramEnd"/>
      <w:r w:rsidR="00736E34">
        <w:t xml:space="preserve"> a 5% </w:t>
      </w:r>
      <w:r w:rsidR="009A3264" w:rsidRPr="006042D3">
        <w:rPr>
          <w:i/>
        </w:rPr>
        <w:t>frictional</w:t>
      </w:r>
      <w:r w:rsidR="009A3264">
        <w:t xml:space="preserve"> </w:t>
      </w:r>
      <w:r w:rsidR="00736E34">
        <w:t xml:space="preserve">rate </w:t>
      </w:r>
      <w:r w:rsidR="00BF1CB0">
        <w:t>based upon “</w:t>
      </w:r>
      <w:r w:rsidR="00736E34">
        <w:t xml:space="preserve">the industry </w:t>
      </w:r>
      <w:r w:rsidR="00C6140E">
        <w:t>rule-of thumb.</w:t>
      </w:r>
      <w:r w:rsidR="00BF1CB0">
        <w:t>”</w:t>
      </w:r>
      <w:r>
        <w:t xml:space="preserve"> </w:t>
      </w:r>
      <w:r w:rsidR="00C6140E">
        <w:t>Th</w:t>
      </w:r>
      <w:r w:rsidR="003B65CD">
        <w:t>is</w:t>
      </w:r>
      <w:r w:rsidR="00C6140E">
        <w:t xml:space="preserve"> rate </w:t>
      </w:r>
      <w:r>
        <w:t>is “employed in estimating proposed construction (i.e., justifiable building space) and in analyzing market equilibrium.”</w:t>
      </w:r>
      <w:r w:rsidR="00355828">
        <w:rPr>
          <w:rFonts w:ascii="ZWAdobeF" w:hAnsi="ZWAdobeF" w:cs="ZWAdobeF"/>
          <w:spacing w:val="0"/>
          <w:sz w:val="2"/>
          <w:szCs w:val="2"/>
        </w:rPr>
        <w:t>12F</w:t>
      </w:r>
      <w:r>
        <w:rPr>
          <w:rStyle w:val="FootnoteReference"/>
        </w:rPr>
        <w:footnoteReference w:id="10"/>
      </w:r>
      <w:r w:rsidR="006D1C9E">
        <w:t xml:space="preserve"> </w:t>
      </w:r>
      <w:r w:rsidR="005449C3">
        <w:t xml:space="preserve">  </w:t>
      </w:r>
      <w:proofErr w:type="gramStart"/>
      <w:r w:rsidR="00A83058">
        <w:t>By</w:t>
      </w:r>
      <w:proofErr w:type="gramEnd"/>
      <w:r w:rsidR="00A83058">
        <w:t xml:space="preserve"> implication, it can be concluded that the 5% </w:t>
      </w:r>
      <w:r w:rsidR="006042D3">
        <w:t xml:space="preserve">frictional </w:t>
      </w:r>
      <w:r w:rsidR="00A83058">
        <w:t xml:space="preserve">vacancy rate </w:t>
      </w:r>
      <w:r w:rsidR="00CF736F">
        <w:t xml:space="preserve">was </w:t>
      </w:r>
      <w:r w:rsidR="00A83058">
        <w:t>equated to the equilibrium vacancy rate.</w:t>
      </w:r>
    </w:p>
    <w:p w:rsidR="00BF1CB0" w:rsidRDefault="00BF1CB0" w:rsidP="00314564">
      <w:pPr>
        <w:widowControl w:val="0"/>
      </w:pPr>
    </w:p>
    <w:p w:rsidR="00D74308" w:rsidRDefault="005A1A50" w:rsidP="00314564">
      <w:pPr>
        <w:widowControl w:val="0"/>
      </w:pPr>
      <w:proofErr w:type="spellStart"/>
      <w:r>
        <w:t>Geltner</w:t>
      </w:r>
      <w:proofErr w:type="spellEnd"/>
      <w:r>
        <w:t>, Miller, et al (2007) identif</w:t>
      </w:r>
      <w:r w:rsidR="00D74308">
        <w:t>y</w:t>
      </w:r>
      <w:r>
        <w:t xml:space="preserve"> vacancy as an “equilibrium indicator</w:t>
      </w:r>
      <w:r w:rsidR="00A83058">
        <w:t>.</w:t>
      </w:r>
      <w:r>
        <w:t>”</w:t>
      </w:r>
      <w:r w:rsidR="00A83058">
        <w:t xml:space="preserve"> </w:t>
      </w:r>
      <w:r w:rsidR="00F44A35">
        <w:t xml:space="preserve"> </w:t>
      </w:r>
      <w:r w:rsidR="00D75F43">
        <w:t xml:space="preserve">While acknowledging that </w:t>
      </w:r>
      <w:r>
        <w:t>“it is normal for some vacancy to exist</w:t>
      </w:r>
      <w:r w:rsidR="00D75F43">
        <w:t>,</w:t>
      </w:r>
      <w:r>
        <w:t>” they mak</w:t>
      </w:r>
      <w:r w:rsidR="00D74308">
        <w:t xml:space="preserve">e it clear that this normal vacancy is </w:t>
      </w:r>
      <w:r>
        <w:t xml:space="preserve">not necessarily </w:t>
      </w:r>
      <w:r w:rsidR="00D74308">
        <w:t xml:space="preserve">related to an equilibrium condition.  The equilibrium condition, instead, is associated with </w:t>
      </w:r>
      <w:r w:rsidR="00A83058">
        <w:t xml:space="preserve">what they called the </w:t>
      </w:r>
      <w:r w:rsidR="00D74308">
        <w:rPr>
          <w:i/>
        </w:rPr>
        <w:t>natural vacancy rate</w:t>
      </w:r>
      <w:r w:rsidR="00D74308">
        <w:t xml:space="preserve">, </w:t>
      </w:r>
    </w:p>
    <w:p w:rsidR="00D74308" w:rsidRDefault="00D74308" w:rsidP="00F44A35">
      <w:pPr>
        <w:widowControl w:val="0"/>
        <w:spacing w:before="120" w:line="240" w:lineRule="auto"/>
        <w:ind w:left="720" w:right="720"/>
      </w:pPr>
      <w:r>
        <w:t>“the vacancy rate that tends to prevail on average over the long run in the market, and which indicates that the market is approximately in balance between supply and demand.”</w:t>
      </w:r>
    </w:p>
    <w:p w:rsidR="00D74308" w:rsidRDefault="00D74308" w:rsidP="00F44A35">
      <w:pPr>
        <w:widowControl w:val="0"/>
        <w:spacing w:line="240" w:lineRule="auto"/>
      </w:pPr>
    </w:p>
    <w:p w:rsidR="005A1A50" w:rsidRDefault="00D74308" w:rsidP="00D74308">
      <w:pPr>
        <w:widowControl w:val="0"/>
      </w:pPr>
      <w:proofErr w:type="spellStart"/>
      <w:r>
        <w:t>Geltner</w:t>
      </w:r>
      <w:proofErr w:type="spellEnd"/>
      <w:r>
        <w:t>, Miller, et al, also p</w:t>
      </w:r>
      <w:r w:rsidR="006042D3">
        <w:t>ropose</w:t>
      </w:r>
      <w:r>
        <w:t xml:space="preserve"> that the “natural vacancy rate is not the same for all markets” and that “the actual vacancy rate will tend to cycle </w:t>
      </w:r>
      <w:r w:rsidR="00F44A35">
        <w:t>over time around the natural rate.”</w:t>
      </w:r>
      <w:r w:rsidR="00F44A35">
        <w:rPr>
          <w:rStyle w:val="FootnoteReference"/>
        </w:rPr>
        <w:footnoteReference w:id="11"/>
      </w:r>
    </w:p>
    <w:p w:rsidR="006042D3" w:rsidRDefault="006042D3" w:rsidP="00D74308">
      <w:pPr>
        <w:widowControl w:val="0"/>
      </w:pPr>
    </w:p>
    <w:p w:rsidR="00DC7139" w:rsidRDefault="00E358B7" w:rsidP="00DC7139">
      <w:pPr>
        <w:widowControl w:val="0"/>
        <w:autoSpaceDE w:val="0"/>
      </w:pPr>
      <w:r>
        <w:t xml:space="preserve">Fanning (2005) </w:t>
      </w:r>
      <w:r w:rsidR="00DC7139">
        <w:t>mirrors Fanning, Grissom and Pearson (1994) in implying that a 5% frictional vacancy rate equates to the equilibrium vacancy rate.</w:t>
      </w:r>
      <w:r w:rsidR="00F1320E">
        <w:t xml:space="preserve">  Our results like those of Mueller suggest something much higher depending on the cycle and the market.</w:t>
      </w:r>
    </w:p>
    <w:p w:rsidR="00800889" w:rsidRDefault="00800889" w:rsidP="00DC7139">
      <w:pPr>
        <w:widowControl w:val="0"/>
        <w:autoSpaceDE w:val="0"/>
      </w:pPr>
    </w:p>
    <w:p w:rsidR="00461414" w:rsidRDefault="00DA479E">
      <w:pPr>
        <w:rPr>
          <w:rFonts w:cs="Arial"/>
          <w:szCs w:val="22"/>
        </w:rPr>
      </w:pPr>
      <w:r w:rsidRPr="009A55C7">
        <w:rPr>
          <w:rFonts w:cs="Arial"/>
          <w:szCs w:val="22"/>
        </w:rPr>
        <w:t>In summary</w:t>
      </w:r>
      <w:r w:rsidR="002A50FF">
        <w:rPr>
          <w:rFonts w:cs="Arial"/>
          <w:szCs w:val="22"/>
        </w:rPr>
        <w:t xml:space="preserve">, </w:t>
      </w:r>
      <w:r w:rsidR="00F44A35">
        <w:rPr>
          <w:rFonts w:cs="Arial"/>
          <w:szCs w:val="22"/>
        </w:rPr>
        <w:t>there is agreement among</w:t>
      </w:r>
      <w:r w:rsidR="00CC7AC6">
        <w:rPr>
          <w:rFonts w:cs="Arial"/>
          <w:szCs w:val="22"/>
        </w:rPr>
        <w:t xml:space="preserve"> market analysts</w:t>
      </w:r>
      <w:r w:rsidRPr="009A55C7">
        <w:rPr>
          <w:rFonts w:cs="Arial"/>
          <w:szCs w:val="22"/>
        </w:rPr>
        <w:t xml:space="preserve"> on </w:t>
      </w:r>
      <w:r w:rsidR="00A67483">
        <w:rPr>
          <w:rFonts w:cs="Arial"/>
          <w:szCs w:val="22"/>
        </w:rPr>
        <w:t>a</w:t>
      </w:r>
      <w:r w:rsidR="00F44A35">
        <w:rPr>
          <w:rFonts w:cs="Arial"/>
          <w:szCs w:val="22"/>
        </w:rPr>
        <w:t xml:space="preserve"> commercial real estate</w:t>
      </w:r>
      <w:r w:rsidR="00A67483">
        <w:rPr>
          <w:rFonts w:cs="Arial"/>
          <w:szCs w:val="22"/>
        </w:rPr>
        <w:t xml:space="preserve"> market’s need</w:t>
      </w:r>
      <w:r w:rsidR="00F44A35">
        <w:rPr>
          <w:rFonts w:cs="Arial"/>
          <w:szCs w:val="22"/>
        </w:rPr>
        <w:t xml:space="preserve"> for vacan</w:t>
      </w:r>
      <w:r w:rsidR="00F1320E">
        <w:rPr>
          <w:rFonts w:cs="Arial"/>
          <w:szCs w:val="22"/>
        </w:rPr>
        <w:t>t</w:t>
      </w:r>
      <w:r w:rsidR="00A67483">
        <w:rPr>
          <w:rFonts w:cs="Arial"/>
          <w:szCs w:val="22"/>
        </w:rPr>
        <w:t xml:space="preserve"> </w:t>
      </w:r>
      <w:r w:rsidR="00F44A35">
        <w:rPr>
          <w:rFonts w:cs="Arial"/>
          <w:szCs w:val="22"/>
        </w:rPr>
        <w:t>space to operate efficiently.  Beyond th</w:t>
      </w:r>
      <w:r w:rsidR="00D75F43">
        <w:rPr>
          <w:rFonts w:cs="Arial"/>
          <w:szCs w:val="22"/>
        </w:rPr>
        <w:t>at</w:t>
      </w:r>
      <w:r w:rsidR="00F44A35">
        <w:rPr>
          <w:rFonts w:cs="Arial"/>
          <w:szCs w:val="22"/>
        </w:rPr>
        <w:t xml:space="preserve">, there appears to be </w:t>
      </w:r>
      <w:r w:rsidR="00D75F43">
        <w:rPr>
          <w:rFonts w:cs="Arial"/>
          <w:szCs w:val="22"/>
        </w:rPr>
        <w:t>little agreement on whether</w:t>
      </w:r>
      <w:r w:rsidR="00F44A35">
        <w:rPr>
          <w:rFonts w:cs="Arial"/>
          <w:szCs w:val="22"/>
        </w:rPr>
        <w:t xml:space="preserve"> th</w:t>
      </w:r>
      <w:r w:rsidR="00D75F43">
        <w:rPr>
          <w:rFonts w:cs="Arial"/>
          <w:szCs w:val="22"/>
        </w:rPr>
        <w:t>e</w:t>
      </w:r>
      <w:r w:rsidR="00F44A35">
        <w:rPr>
          <w:rFonts w:cs="Arial"/>
          <w:szCs w:val="22"/>
        </w:rPr>
        <w:t xml:space="preserve"> needed vacancy </w:t>
      </w:r>
      <w:r w:rsidR="00D75F43">
        <w:rPr>
          <w:rFonts w:cs="Arial"/>
          <w:szCs w:val="22"/>
        </w:rPr>
        <w:t xml:space="preserve">is associated only with friction or also with </w:t>
      </w:r>
      <w:r w:rsidR="00F44A35">
        <w:rPr>
          <w:rFonts w:cs="Arial"/>
          <w:szCs w:val="22"/>
        </w:rPr>
        <w:t xml:space="preserve">an equilibrium condition.  </w:t>
      </w:r>
    </w:p>
    <w:p w:rsidR="00B41AF5" w:rsidRDefault="00B41AF5">
      <w:pPr>
        <w:rPr>
          <w:b/>
        </w:rPr>
      </w:pPr>
    </w:p>
    <w:p w:rsidR="001E7847" w:rsidRDefault="00564A5D" w:rsidP="00314564">
      <w:pPr>
        <w:widowControl w:val="0"/>
        <w:rPr>
          <w:b/>
        </w:rPr>
      </w:pPr>
      <w:r>
        <w:rPr>
          <w:b/>
        </w:rPr>
        <w:t xml:space="preserve">Derivation of </w:t>
      </w:r>
      <w:r w:rsidR="00CC7AC6">
        <w:rPr>
          <w:b/>
        </w:rPr>
        <w:t>a</w:t>
      </w:r>
      <w:r w:rsidR="009B0187">
        <w:rPr>
          <w:b/>
        </w:rPr>
        <w:t>n Equilibrium</w:t>
      </w:r>
      <w:r>
        <w:rPr>
          <w:b/>
        </w:rPr>
        <w:t xml:space="preserve"> Vacancy Rate</w:t>
      </w:r>
    </w:p>
    <w:p w:rsidR="008B7C5E" w:rsidRDefault="008B7C5E" w:rsidP="008B7C5E">
      <w:pPr>
        <w:widowControl w:val="0"/>
      </w:pPr>
    </w:p>
    <w:p w:rsidR="00A67483" w:rsidRDefault="00A67483" w:rsidP="008B7C5E">
      <w:pPr>
        <w:widowControl w:val="0"/>
      </w:pPr>
      <w:r>
        <w:lastRenderedPageBreak/>
        <w:t xml:space="preserve">On a practical level, </w:t>
      </w:r>
      <w:r w:rsidR="00DD5CF0">
        <w:t xml:space="preserve">appraisers and </w:t>
      </w:r>
      <w:r>
        <w:t xml:space="preserve">market analysts should </w:t>
      </w:r>
      <w:r w:rsidR="00E13747">
        <w:t>have the ability</w:t>
      </w:r>
      <w:r>
        <w:t xml:space="preserve"> to extract an equilibrium vacancy rate from their local market for </w:t>
      </w:r>
      <w:r w:rsidR="00E13747">
        <w:t xml:space="preserve">any </w:t>
      </w:r>
      <w:r w:rsidR="00957288">
        <w:t>p</w:t>
      </w:r>
      <w:r>
        <w:t>roperty type.</w:t>
      </w:r>
      <w:r w:rsidR="00E13747">
        <w:t xml:space="preserve">  The proper use of inferential statistics will then permit </w:t>
      </w:r>
      <w:r w:rsidR="00E15C3F">
        <w:t>extrapolation</w:t>
      </w:r>
      <w:r w:rsidR="00E13747">
        <w:t xml:space="preserve"> for predictive purposes.</w:t>
      </w:r>
      <w:r>
        <w:t xml:space="preserve">  The question to be answered is how can this be done in a reliable manner with readily available information sources? The </w:t>
      </w:r>
      <w:r w:rsidR="00E15C3F">
        <w:t xml:space="preserve">published </w:t>
      </w:r>
      <w:r>
        <w:t xml:space="preserve">research </w:t>
      </w:r>
      <w:r w:rsidR="00E15C3F">
        <w:t xml:space="preserve">has </w:t>
      </w:r>
      <w:r>
        <w:t>emphasize</w:t>
      </w:r>
      <w:r w:rsidR="00E15C3F">
        <w:t>d</w:t>
      </w:r>
      <w:r>
        <w:t xml:space="preserve"> two main methods – regression analysis</w:t>
      </w:r>
      <w:r w:rsidR="00DD5CF0">
        <w:t xml:space="preserve"> using rent as a dependent variable</w:t>
      </w:r>
      <w:r>
        <w:t>; and the</w:t>
      </w:r>
      <w:r w:rsidR="00DD5CF0">
        <w:t xml:space="preserve"> </w:t>
      </w:r>
      <w:r>
        <w:t xml:space="preserve">market analysis method of averaging the vacancy rate over an extended period.  </w:t>
      </w:r>
      <w:r w:rsidR="00DC7139">
        <w:t>We</w:t>
      </w:r>
      <w:r>
        <w:t xml:space="preserve"> will </w:t>
      </w:r>
      <w:r w:rsidR="00E15C3F">
        <w:t>employ</w:t>
      </w:r>
      <w:r>
        <w:t xml:space="preserve"> both of these methods, and </w:t>
      </w:r>
      <w:r w:rsidR="00DC7139">
        <w:t>test</w:t>
      </w:r>
      <w:r>
        <w:t xml:space="preserve"> a third approach</w:t>
      </w:r>
      <w:r w:rsidR="006B1592">
        <w:t xml:space="preserve"> – graphic interpretation of the movement of vacancy rates and rental rates.</w:t>
      </w:r>
    </w:p>
    <w:p w:rsidR="00A67483" w:rsidRDefault="00A67483" w:rsidP="008B7C5E">
      <w:pPr>
        <w:widowControl w:val="0"/>
      </w:pPr>
    </w:p>
    <w:p w:rsidR="004228BB" w:rsidRDefault="00DC7139" w:rsidP="001275FD">
      <w:pPr>
        <w:widowControl w:val="0"/>
      </w:pPr>
      <w:r>
        <w:t xml:space="preserve">We have chosen nine markets to study: three </w:t>
      </w:r>
      <w:r w:rsidR="004228BB">
        <w:t xml:space="preserve">cities </w:t>
      </w:r>
      <w:r>
        <w:t xml:space="preserve">on the west coast, three </w:t>
      </w:r>
      <w:r w:rsidR="004228BB">
        <w:t xml:space="preserve">cities </w:t>
      </w:r>
      <w:r>
        <w:t>on the east coast, and three</w:t>
      </w:r>
      <w:r w:rsidR="004228BB">
        <w:t xml:space="preserve"> cities</w:t>
      </w:r>
      <w:r>
        <w:t xml:space="preserve"> in the central part of the United States. </w:t>
      </w:r>
      <w:r w:rsidR="004228BB">
        <w:t xml:space="preserve"> In all cases, the equilibrium vacancy rate of the city’s Class A office space </w:t>
      </w:r>
      <w:r w:rsidR="00CF736F">
        <w:t>is the subject</w:t>
      </w:r>
      <w:r w:rsidR="00DD5CF0">
        <w:t xml:space="preserve"> of analysis</w:t>
      </w:r>
      <w:r w:rsidR="004228BB">
        <w:t xml:space="preserve">.  </w:t>
      </w:r>
      <w:r>
        <w:t xml:space="preserve"> </w:t>
      </w:r>
    </w:p>
    <w:p w:rsidR="004228BB" w:rsidRDefault="004228BB" w:rsidP="001275FD">
      <w:pPr>
        <w:widowControl w:val="0"/>
      </w:pPr>
    </w:p>
    <w:p w:rsidR="001275FD" w:rsidRDefault="00DC7139" w:rsidP="001275FD">
      <w:pPr>
        <w:widowControl w:val="0"/>
      </w:pPr>
      <w:r>
        <w:t>We have relied upon Costar data to perform our study.</w:t>
      </w:r>
      <w:r w:rsidR="006042D3">
        <w:rPr>
          <w:rStyle w:val="FootnoteReference"/>
        </w:rPr>
        <w:footnoteReference w:id="12"/>
      </w:r>
      <w:r>
        <w:t xml:space="preserve"> </w:t>
      </w:r>
      <w:r w:rsidR="006A4D7E">
        <w:t xml:space="preserve"> </w:t>
      </w:r>
      <w:r w:rsidR="001275FD">
        <w:t xml:space="preserve">Although none of the earlier research indicated a proper study period, </w:t>
      </w:r>
      <w:r>
        <w:t>we have tried to normalize the period covered</w:t>
      </w:r>
      <w:r w:rsidR="006042D3">
        <w:t xml:space="preserve"> over the cities tested, going back to</w:t>
      </w:r>
      <w:r>
        <w:t xml:space="preserve"> no earlier than 1996</w:t>
      </w:r>
      <w:r w:rsidR="006A4D7E">
        <w:t xml:space="preserve"> (depending on availability of information) </w:t>
      </w:r>
      <w:r w:rsidR="006042D3">
        <w:t>and</w:t>
      </w:r>
      <w:r w:rsidR="006A4D7E">
        <w:t xml:space="preserve"> going forward</w:t>
      </w:r>
      <w:r w:rsidR="006042D3">
        <w:t xml:space="preserve"> </w:t>
      </w:r>
      <w:r>
        <w:t>through the fourth quarter 2013</w:t>
      </w:r>
      <w:r w:rsidR="006A4D7E">
        <w:t xml:space="preserve">.  </w:t>
      </w:r>
      <w:r w:rsidR="00DD5CF0">
        <w:t xml:space="preserve">We note </w:t>
      </w:r>
      <w:r w:rsidR="006A4D7E">
        <w:t>that t</w:t>
      </w:r>
      <w:r w:rsidR="001275FD">
        <w:t>h</w:t>
      </w:r>
      <w:r>
        <w:t xml:space="preserve">e </w:t>
      </w:r>
      <w:r w:rsidR="001275FD">
        <w:t xml:space="preserve">behavior </w:t>
      </w:r>
      <w:r w:rsidR="006A4D7E">
        <w:t>of</w:t>
      </w:r>
      <w:r>
        <w:t xml:space="preserve"> each market </w:t>
      </w:r>
      <w:r w:rsidR="001275FD">
        <w:t xml:space="preserve">must include both periods of rent change and/or periods of rent stability.  If there is no evident period of stability, then there must be periods of both upward and downward movement in rents.  </w:t>
      </w:r>
      <w:r w:rsidR="00E15C3F">
        <w:t>A</w:t>
      </w:r>
      <w:r w:rsidR="001275FD">
        <w:t xml:space="preserve"> time frame that does not produce a</w:t>
      </w:r>
      <w:r w:rsidR="006A4D7E">
        <w:t xml:space="preserve"> balanced</w:t>
      </w:r>
      <w:r w:rsidR="001275FD">
        <w:t xml:space="preserve"> </w:t>
      </w:r>
      <w:r w:rsidR="006A4D7E">
        <w:t>s</w:t>
      </w:r>
      <w:r w:rsidR="001275FD">
        <w:t>ample of market behavior will produce misleading results.</w:t>
      </w:r>
    </w:p>
    <w:p w:rsidR="003C35C9" w:rsidRDefault="003C35C9" w:rsidP="001275FD">
      <w:pPr>
        <w:widowControl w:val="0"/>
      </w:pPr>
    </w:p>
    <w:p w:rsidR="003C35C9" w:rsidRDefault="009B619A" w:rsidP="003C35C9">
      <w:pPr>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45.85pt;margin-top:22.95pt;width:559.45pt;height:107.9pt;z-index:251734016">
            <v:imagedata r:id="rId9" o:title=""/>
            <w10:wrap type="square"/>
          </v:shape>
          <o:OLEObject Type="Embed" ProgID="Excel.Sheet.12" ShapeID="_x0000_s1091" DrawAspect="Content" ObjectID="_1458473535" r:id="rId10"/>
        </w:pict>
      </w:r>
      <w:r w:rsidR="006A4D7E">
        <w:t>A s</w:t>
      </w:r>
      <w:r w:rsidR="004228BB">
        <w:t xml:space="preserve">ummary </w:t>
      </w:r>
      <w:r w:rsidR="006A4D7E">
        <w:t xml:space="preserve">of </w:t>
      </w:r>
      <w:r w:rsidR="004228BB">
        <w:t xml:space="preserve">input data </w:t>
      </w:r>
      <w:r w:rsidR="006A4D7E">
        <w:t xml:space="preserve">for this study </w:t>
      </w:r>
      <w:r w:rsidR="004228BB">
        <w:t>is presented below</w:t>
      </w:r>
      <w:r w:rsidR="00DD5CF0">
        <w:t xml:space="preserve"> in Exhibit 1</w:t>
      </w:r>
      <w:r w:rsidR="004228BB">
        <w:t>:</w:t>
      </w:r>
    </w:p>
    <w:p w:rsidR="003C35C9" w:rsidRDefault="003C35C9" w:rsidP="003C35C9">
      <w:pPr>
        <w:widowControl w:val="0"/>
        <w:spacing w:line="240" w:lineRule="auto"/>
      </w:pPr>
      <w:r>
        <w:t xml:space="preserve"> </w:t>
      </w:r>
    </w:p>
    <w:p w:rsidR="008B7C5E" w:rsidRDefault="003C35C9" w:rsidP="003C35C9">
      <w:pPr>
        <w:pStyle w:val="ListParagraph"/>
        <w:widowControl w:val="0"/>
        <w:spacing w:before="120" w:line="240" w:lineRule="auto"/>
        <w:ind w:left="0"/>
      </w:pPr>
      <w:r>
        <w:t>Ad</w:t>
      </w:r>
      <w:r w:rsidR="008B7C5E">
        <w:t xml:space="preserve">ditional </w:t>
      </w:r>
      <w:r w:rsidR="00DD5CF0">
        <w:t xml:space="preserve">notes on the </w:t>
      </w:r>
      <w:r w:rsidR="008B7C5E">
        <w:t>data:</w:t>
      </w:r>
    </w:p>
    <w:p w:rsidR="008B7C5E" w:rsidRDefault="008B7C5E" w:rsidP="008B7C5E">
      <w:pPr>
        <w:pStyle w:val="ListParagraph"/>
        <w:widowControl w:val="0"/>
        <w:ind w:left="0"/>
      </w:pPr>
    </w:p>
    <w:p w:rsidR="008B7C5E" w:rsidRDefault="008B7C5E" w:rsidP="008B7C5E">
      <w:pPr>
        <w:pStyle w:val="ListParagraph"/>
        <w:widowControl w:val="0"/>
        <w:numPr>
          <w:ilvl w:val="0"/>
          <w:numId w:val="4"/>
        </w:numPr>
      </w:pPr>
      <w:r>
        <w:t>CoStar reports that the relevant definitions, including vacancy rate and direct average rent, have not changed over the study period</w:t>
      </w:r>
      <w:r w:rsidR="00887613">
        <w:t>s</w:t>
      </w:r>
    </w:p>
    <w:p w:rsidR="008B7C5E" w:rsidRDefault="008B7C5E" w:rsidP="008B7C5E">
      <w:pPr>
        <w:pStyle w:val="ListParagraph"/>
        <w:widowControl w:val="0"/>
        <w:numPr>
          <w:ilvl w:val="0"/>
          <w:numId w:val="4"/>
        </w:numPr>
      </w:pPr>
      <w:r>
        <w:lastRenderedPageBreak/>
        <w:t>Direct Average Rent is the asking “face” rent for all vacant space in the office buildings offered by the property landlord (sublets excluded).</w:t>
      </w:r>
      <w:r w:rsidR="00C74510">
        <w:t xml:space="preserve">  Not all buildings were reporting direct rents for every quarter.</w:t>
      </w:r>
    </w:p>
    <w:p w:rsidR="008B7C5E" w:rsidRDefault="008B7C5E" w:rsidP="008B7C5E">
      <w:pPr>
        <w:pStyle w:val="ListParagraph"/>
        <w:widowControl w:val="0"/>
        <w:numPr>
          <w:ilvl w:val="0"/>
          <w:numId w:val="4"/>
        </w:numPr>
      </w:pPr>
      <w:r>
        <w:t>Occupied space that is offered for lease is excluded from vacancy consideration</w:t>
      </w:r>
    </w:p>
    <w:p w:rsidR="00957288" w:rsidRDefault="00957288" w:rsidP="00957288">
      <w:pPr>
        <w:pStyle w:val="ListParagraph"/>
        <w:widowControl w:val="0"/>
        <w:ind w:left="1080"/>
      </w:pPr>
    </w:p>
    <w:p w:rsidR="004B4CAC" w:rsidRDefault="00900A66" w:rsidP="00C96748">
      <w:pPr>
        <w:autoSpaceDE w:val="0"/>
        <w:autoSpaceDN w:val="0"/>
        <w:adjustRightInd w:val="0"/>
        <w:spacing w:before="4"/>
        <w:ind w:right="132"/>
        <w:rPr>
          <w:rFonts w:cs="Arial"/>
          <w:color w:val="000000"/>
          <w:szCs w:val="22"/>
        </w:rPr>
      </w:pPr>
      <w:r>
        <w:rPr>
          <w:rFonts w:cs="Arial"/>
          <w:color w:val="000000"/>
          <w:szCs w:val="22"/>
        </w:rPr>
        <w:t xml:space="preserve">Ideally, net </w:t>
      </w:r>
      <w:r w:rsidR="001275FD">
        <w:rPr>
          <w:rFonts w:cs="Arial"/>
          <w:color w:val="000000"/>
          <w:szCs w:val="22"/>
        </w:rPr>
        <w:t xml:space="preserve">effective </w:t>
      </w:r>
      <w:r>
        <w:rPr>
          <w:rFonts w:cs="Arial"/>
          <w:color w:val="000000"/>
          <w:szCs w:val="22"/>
        </w:rPr>
        <w:t>market rent would be tracked instead of asking face rents.</w:t>
      </w:r>
      <w:r w:rsidR="006B1592">
        <w:rPr>
          <w:rFonts w:cs="Arial"/>
          <w:color w:val="000000"/>
          <w:szCs w:val="22"/>
        </w:rPr>
        <w:t xml:space="preserve">  </w:t>
      </w:r>
      <w:r>
        <w:rPr>
          <w:rFonts w:cs="Arial"/>
          <w:color w:val="000000"/>
          <w:szCs w:val="22"/>
        </w:rPr>
        <w:t xml:space="preserve">However, </w:t>
      </w:r>
      <w:r w:rsidR="004B4CAC">
        <w:rPr>
          <w:rFonts w:cs="Arial"/>
          <w:color w:val="000000"/>
          <w:szCs w:val="22"/>
        </w:rPr>
        <w:t>reliable quantification of</w:t>
      </w:r>
      <w:r w:rsidR="006A4D7E">
        <w:rPr>
          <w:rFonts w:cs="Arial"/>
          <w:color w:val="000000"/>
          <w:szCs w:val="22"/>
        </w:rPr>
        <w:t xml:space="preserve"> effective</w:t>
      </w:r>
      <w:r w:rsidR="004B4CAC">
        <w:rPr>
          <w:rFonts w:cs="Arial"/>
          <w:color w:val="000000"/>
          <w:szCs w:val="22"/>
        </w:rPr>
        <w:t xml:space="preserve"> </w:t>
      </w:r>
      <w:r>
        <w:rPr>
          <w:rFonts w:cs="Arial"/>
          <w:color w:val="000000"/>
          <w:szCs w:val="22"/>
        </w:rPr>
        <w:t xml:space="preserve">market rents </w:t>
      </w:r>
      <w:r w:rsidR="004B4CAC">
        <w:rPr>
          <w:rFonts w:cs="Arial"/>
          <w:color w:val="000000"/>
          <w:szCs w:val="22"/>
        </w:rPr>
        <w:t xml:space="preserve">over time </w:t>
      </w:r>
      <w:r w:rsidR="00B73121">
        <w:rPr>
          <w:rFonts w:cs="Arial"/>
          <w:color w:val="000000"/>
          <w:szCs w:val="22"/>
        </w:rPr>
        <w:t xml:space="preserve">is </w:t>
      </w:r>
      <w:r w:rsidR="004B4CAC">
        <w:rPr>
          <w:rFonts w:cs="Arial"/>
          <w:color w:val="000000"/>
          <w:szCs w:val="22"/>
        </w:rPr>
        <w:t>impractical</w:t>
      </w:r>
      <w:r>
        <w:rPr>
          <w:rFonts w:cs="Arial"/>
          <w:color w:val="000000"/>
          <w:szCs w:val="22"/>
        </w:rPr>
        <w:t xml:space="preserve">.  Asking face rents are </w:t>
      </w:r>
      <w:r w:rsidR="00957288">
        <w:rPr>
          <w:rFonts w:cs="Arial"/>
          <w:color w:val="000000"/>
          <w:szCs w:val="22"/>
        </w:rPr>
        <w:t xml:space="preserve">used as </w:t>
      </w:r>
      <w:r>
        <w:rPr>
          <w:rFonts w:cs="Arial"/>
          <w:color w:val="000000"/>
          <w:szCs w:val="22"/>
        </w:rPr>
        <w:t>a proxy</w:t>
      </w:r>
      <w:r w:rsidR="00957288">
        <w:rPr>
          <w:rFonts w:cs="Arial"/>
          <w:color w:val="000000"/>
          <w:szCs w:val="22"/>
        </w:rPr>
        <w:t xml:space="preserve"> in this research, but do</w:t>
      </w:r>
      <w:r w:rsidR="004B4CAC">
        <w:rPr>
          <w:rFonts w:cs="Arial"/>
          <w:color w:val="000000"/>
          <w:szCs w:val="22"/>
        </w:rPr>
        <w:t>ne so with the caution</w:t>
      </w:r>
      <w:r w:rsidR="00957288">
        <w:rPr>
          <w:rFonts w:cs="Arial"/>
          <w:color w:val="000000"/>
          <w:szCs w:val="22"/>
        </w:rPr>
        <w:t xml:space="preserve">.  </w:t>
      </w:r>
      <w:proofErr w:type="spellStart"/>
      <w:r w:rsidR="00957288">
        <w:rPr>
          <w:rFonts w:cs="Arial"/>
          <w:color w:val="000000"/>
          <w:szCs w:val="22"/>
        </w:rPr>
        <w:t>Geltner</w:t>
      </w:r>
      <w:proofErr w:type="spellEnd"/>
      <w:r w:rsidR="00957288">
        <w:rPr>
          <w:rFonts w:cs="Arial"/>
          <w:color w:val="000000"/>
          <w:szCs w:val="22"/>
        </w:rPr>
        <w:t>, Miller, et al, (2007) identified the weakness of this approach:</w:t>
      </w:r>
    </w:p>
    <w:p w:rsidR="004B4CAC" w:rsidRDefault="004B4CAC" w:rsidP="004B4CAC">
      <w:pPr>
        <w:autoSpaceDE w:val="0"/>
        <w:autoSpaceDN w:val="0"/>
        <w:adjustRightInd w:val="0"/>
        <w:spacing w:before="4" w:line="240" w:lineRule="auto"/>
        <w:ind w:left="720" w:right="130"/>
        <w:rPr>
          <w:rFonts w:cs="Arial"/>
          <w:color w:val="000000"/>
          <w:szCs w:val="22"/>
        </w:rPr>
      </w:pPr>
      <w:proofErr w:type="gramStart"/>
      <w:r>
        <w:rPr>
          <w:rFonts w:cs="Arial"/>
          <w:i/>
          <w:color w:val="000000"/>
          <w:szCs w:val="22"/>
        </w:rPr>
        <w:t>a</w:t>
      </w:r>
      <w:r w:rsidRPr="004B4CAC">
        <w:rPr>
          <w:rFonts w:cs="Arial"/>
          <w:i/>
          <w:color w:val="000000"/>
          <w:szCs w:val="22"/>
        </w:rPr>
        <w:t>sking</w:t>
      </w:r>
      <w:proofErr w:type="gramEnd"/>
      <w:r w:rsidRPr="004B4CAC">
        <w:rPr>
          <w:rFonts w:cs="Arial"/>
          <w:i/>
          <w:color w:val="000000"/>
          <w:szCs w:val="22"/>
        </w:rPr>
        <w:t xml:space="preserve"> rents</w:t>
      </w:r>
      <w:r>
        <w:rPr>
          <w:rFonts w:cs="Arial"/>
          <w:color w:val="000000"/>
          <w:szCs w:val="22"/>
        </w:rPr>
        <w:t xml:space="preserve">, which may typically be reported in surveys of landlords, may differ from the </w:t>
      </w:r>
      <w:r>
        <w:rPr>
          <w:rFonts w:cs="Arial"/>
          <w:i/>
          <w:color w:val="000000"/>
          <w:szCs w:val="22"/>
        </w:rPr>
        <w:t xml:space="preserve">effective rents </w:t>
      </w:r>
      <w:r>
        <w:rPr>
          <w:rFonts w:cs="Arial"/>
          <w:color w:val="000000"/>
          <w:szCs w:val="22"/>
        </w:rPr>
        <w:t>actually being charged new tenants.  The concept of effective rent includes the monetary effect of concessions and rent abatements that landlords may sometimes offer tenants to persuade them to sign a lease.</w:t>
      </w:r>
      <w:r>
        <w:rPr>
          <w:rStyle w:val="FootnoteReference"/>
          <w:rFonts w:cs="Arial"/>
          <w:color w:val="000000"/>
          <w:szCs w:val="22"/>
        </w:rPr>
        <w:footnoteReference w:id="13"/>
      </w:r>
      <w:r>
        <w:rPr>
          <w:rFonts w:cs="Arial"/>
          <w:i/>
          <w:color w:val="000000"/>
          <w:szCs w:val="22"/>
        </w:rPr>
        <w:t xml:space="preserve"> </w:t>
      </w:r>
      <w:r>
        <w:rPr>
          <w:rFonts w:cs="Arial"/>
          <w:color w:val="000000"/>
          <w:szCs w:val="22"/>
        </w:rPr>
        <w:t xml:space="preserve"> </w:t>
      </w:r>
    </w:p>
    <w:p w:rsidR="00957288" w:rsidRDefault="00957288" w:rsidP="00C96748">
      <w:pPr>
        <w:autoSpaceDE w:val="0"/>
        <w:autoSpaceDN w:val="0"/>
        <w:adjustRightInd w:val="0"/>
        <w:spacing w:before="4"/>
        <w:ind w:right="132"/>
        <w:rPr>
          <w:rFonts w:cs="Arial"/>
          <w:color w:val="000000"/>
          <w:szCs w:val="22"/>
        </w:rPr>
      </w:pPr>
    </w:p>
    <w:p w:rsidR="006B1592" w:rsidRDefault="0047730E" w:rsidP="00C96748">
      <w:pPr>
        <w:autoSpaceDE w:val="0"/>
        <w:autoSpaceDN w:val="0"/>
        <w:adjustRightInd w:val="0"/>
        <w:spacing w:before="4"/>
        <w:ind w:right="132"/>
        <w:rPr>
          <w:rFonts w:cs="Arial"/>
          <w:color w:val="080808"/>
          <w:szCs w:val="22"/>
        </w:rPr>
      </w:pPr>
      <w:r>
        <w:rPr>
          <w:rFonts w:cs="Arial"/>
          <w:color w:val="000000"/>
          <w:szCs w:val="22"/>
        </w:rPr>
        <w:t xml:space="preserve">A market just turning downward </w:t>
      </w:r>
      <w:r w:rsidR="006A4D7E">
        <w:rPr>
          <w:rFonts w:cs="Arial"/>
          <w:color w:val="000000"/>
          <w:szCs w:val="22"/>
        </w:rPr>
        <w:t xml:space="preserve">from an equilibrium condition pure </w:t>
      </w:r>
      <w:r>
        <w:rPr>
          <w:rFonts w:cs="Arial"/>
          <w:color w:val="000000"/>
          <w:szCs w:val="22"/>
        </w:rPr>
        <w:t xml:space="preserve">would likely first invoke concessions before actually having asking face rents decline; similarly, a </w:t>
      </w:r>
      <w:r w:rsidR="006A4D7E">
        <w:rPr>
          <w:rFonts w:cs="Arial"/>
          <w:color w:val="000000"/>
          <w:szCs w:val="22"/>
        </w:rPr>
        <w:t>recovering market just tu</w:t>
      </w:r>
      <w:r>
        <w:rPr>
          <w:rFonts w:cs="Arial"/>
          <w:color w:val="000000"/>
          <w:szCs w:val="22"/>
        </w:rPr>
        <w:t xml:space="preserve">rning upward would likely shed the concessions before increasing asking face rents. </w:t>
      </w:r>
      <w:r w:rsidR="00B667D5">
        <w:rPr>
          <w:rFonts w:cs="Arial"/>
          <w:color w:val="080808"/>
          <w:szCs w:val="22"/>
        </w:rPr>
        <w:t xml:space="preserve"> </w:t>
      </w:r>
      <w:r>
        <w:rPr>
          <w:rFonts w:cs="Arial"/>
          <w:color w:val="080808"/>
          <w:szCs w:val="22"/>
        </w:rPr>
        <w:t>U</w:t>
      </w:r>
      <w:r w:rsidR="001817F1">
        <w:rPr>
          <w:rFonts w:cs="Arial"/>
          <w:color w:val="080808"/>
          <w:szCs w:val="22"/>
        </w:rPr>
        <w:t xml:space="preserve">ltimately, </w:t>
      </w:r>
      <w:r>
        <w:rPr>
          <w:rFonts w:cs="Arial"/>
          <w:color w:val="080808"/>
          <w:szCs w:val="22"/>
        </w:rPr>
        <w:t xml:space="preserve">if a condition persists, </w:t>
      </w:r>
      <w:r w:rsidR="001817F1">
        <w:rPr>
          <w:rFonts w:cs="Arial"/>
          <w:color w:val="080808"/>
          <w:szCs w:val="22"/>
        </w:rPr>
        <w:t>downward pressure will prev</w:t>
      </w:r>
      <w:r>
        <w:rPr>
          <w:rFonts w:cs="Arial"/>
          <w:color w:val="080808"/>
          <w:szCs w:val="22"/>
        </w:rPr>
        <w:t xml:space="preserve">ail in forcing face rents down and upward pressure will prevail in forcing face rents up, </w:t>
      </w:r>
      <w:r w:rsidR="001817F1">
        <w:rPr>
          <w:rFonts w:cs="Arial"/>
          <w:color w:val="080808"/>
          <w:szCs w:val="22"/>
        </w:rPr>
        <w:t xml:space="preserve">evidencing a movement </w:t>
      </w:r>
      <w:r w:rsidR="00887613">
        <w:rPr>
          <w:rFonts w:cs="Arial"/>
          <w:color w:val="080808"/>
          <w:szCs w:val="22"/>
        </w:rPr>
        <w:t>around</w:t>
      </w:r>
      <w:r w:rsidR="001817F1">
        <w:rPr>
          <w:rFonts w:cs="Arial"/>
          <w:color w:val="080808"/>
          <w:szCs w:val="22"/>
        </w:rPr>
        <w:t xml:space="preserve"> equilibrium.  </w:t>
      </w:r>
      <w:r w:rsidR="004C2DE6">
        <w:rPr>
          <w:rFonts w:cs="Arial"/>
          <w:color w:val="080808"/>
          <w:szCs w:val="22"/>
        </w:rPr>
        <w:t xml:space="preserve">All previous research has </w:t>
      </w:r>
      <w:r w:rsidR="00887613">
        <w:rPr>
          <w:rFonts w:cs="Arial"/>
          <w:color w:val="080808"/>
          <w:szCs w:val="22"/>
        </w:rPr>
        <w:t xml:space="preserve">also </w:t>
      </w:r>
      <w:r w:rsidR="004C2DE6">
        <w:rPr>
          <w:rFonts w:cs="Arial"/>
          <w:color w:val="080808"/>
          <w:szCs w:val="22"/>
        </w:rPr>
        <w:t xml:space="preserve">been hampered by these possibly off-setting </w:t>
      </w:r>
      <w:r>
        <w:rPr>
          <w:rFonts w:cs="Arial"/>
          <w:color w:val="080808"/>
          <w:szCs w:val="22"/>
        </w:rPr>
        <w:t>limitations</w:t>
      </w:r>
      <w:r w:rsidR="004C2DE6">
        <w:rPr>
          <w:rFonts w:cs="Arial"/>
          <w:color w:val="080808"/>
          <w:szCs w:val="22"/>
        </w:rPr>
        <w:t xml:space="preserve">.  </w:t>
      </w:r>
      <w:r>
        <w:rPr>
          <w:rFonts w:cs="Arial"/>
          <w:color w:val="080808"/>
          <w:szCs w:val="22"/>
        </w:rPr>
        <w:t xml:space="preserve"> </w:t>
      </w:r>
    </w:p>
    <w:p w:rsidR="004C2DE6" w:rsidRDefault="004C2DE6" w:rsidP="00C96748">
      <w:pPr>
        <w:autoSpaceDE w:val="0"/>
        <w:autoSpaceDN w:val="0"/>
        <w:adjustRightInd w:val="0"/>
        <w:spacing w:before="4"/>
        <w:ind w:right="132"/>
      </w:pPr>
    </w:p>
    <w:p w:rsidR="00C96748" w:rsidRDefault="00C010C7" w:rsidP="00314564">
      <w:pPr>
        <w:autoSpaceDE w:val="0"/>
        <w:autoSpaceDN w:val="0"/>
        <w:adjustRightInd w:val="0"/>
        <w:spacing w:before="4"/>
        <w:ind w:right="132"/>
        <w:rPr>
          <w:b/>
        </w:rPr>
      </w:pPr>
      <w:r>
        <w:rPr>
          <w:b/>
        </w:rPr>
        <w:t>Derivation</w:t>
      </w:r>
      <w:r w:rsidR="00C96748">
        <w:rPr>
          <w:b/>
        </w:rPr>
        <w:t xml:space="preserve"> 1 </w:t>
      </w:r>
      <w:r w:rsidR="003E1853">
        <w:rPr>
          <w:b/>
        </w:rPr>
        <w:t>–</w:t>
      </w:r>
      <w:r w:rsidR="00C96748">
        <w:rPr>
          <w:b/>
        </w:rPr>
        <w:t xml:space="preserve"> </w:t>
      </w:r>
      <w:r w:rsidR="001817F1">
        <w:rPr>
          <w:b/>
        </w:rPr>
        <w:t>Re</w:t>
      </w:r>
      <w:r w:rsidR="003E1853">
        <w:rPr>
          <w:b/>
        </w:rPr>
        <w:t xml:space="preserve">gression of </w:t>
      </w:r>
      <w:r w:rsidR="00C96748">
        <w:rPr>
          <w:b/>
        </w:rPr>
        <w:t>Rent and Vacancy R</w:t>
      </w:r>
      <w:r w:rsidR="007F53E6">
        <w:rPr>
          <w:b/>
        </w:rPr>
        <w:t>ate</w:t>
      </w:r>
    </w:p>
    <w:p w:rsidR="003E1853" w:rsidRDefault="003E1853" w:rsidP="00314564">
      <w:pPr>
        <w:autoSpaceDE w:val="0"/>
        <w:autoSpaceDN w:val="0"/>
        <w:adjustRightInd w:val="0"/>
        <w:spacing w:before="4"/>
        <w:ind w:right="132"/>
      </w:pPr>
    </w:p>
    <w:p w:rsidR="00C873DC" w:rsidRDefault="00887613" w:rsidP="00C873DC">
      <w:pPr>
        <w:widowControl w:val="0"/>
      </w:pPr>
      <w:r>
        <w:t>In hopes of diminishing the effect of inflationary/deflationary pressure of operating expenses on market rent, r</w:t>
      </w:r>
      <w:r w:rsidR="00C873DC">
        <w:t xml:space="preserve">eal rents have been chosen </w:t>
      </w:r>
      <w:r w:rsidR="00E15C3F">
        <w:t xml:space="preserve">for use as </w:t>
      </w:r>
      <w:r w:rsidR="00271622">
        <w:t>our first</w:t>
      </w:r>
      <w:r w:rsidR="00E15C3F">
        <w:t xml:space="preserve"> dependent variable in the regression model</w:t>
      </w:r>
      <w:r w:rsidR="00C873DC">
        <w:t xml:space="preserve">.   This approach postulates that real, as opposed to nominal rent change, is a </w:t>
      </w:r>
      <w:r w:rsidR="006A4D7E">
        <w:t xml:space="preserve">pure </w:t>
      </w:r>
      <w:r w:rsidR="00C873DC">
        <w:t xml:space="preserve">function of the deviation of the actual vacancy rate from the equilibrium vacancy rate. </w:t>
      </w:r>
    </w:p>
    <w:p w:rsidR="00C873DC" w:rsidRDefault="00C873DC" w:rsidP="003E1853">
      <w:pPr>
        <w:widowControl w:val="0"/>
      </w:pPr>
    </w:p>
    <w:p w:rsidR="003E1853" w:rsidRDefault="003E1853" w:rsidP="003E1853">
      <w:pPr>
        <w:widowControl w:val="0"/>
      </w:pPr>
      <w:r>
        <w:t xml:space="preserve">Nominal rents have been deflated by the Consumer Price Index for </w:t>
      </w:r>
      <w:r w:rsidR="004C2DE6">
        <w:t>each city</w:t>
      </w:r>
      <w:r w:rsidR="00C873DC">
        <w:t>.</w:t>
      </w:r>
      <w:r w:rsidR="0090313E">
        <w:rPr>
          <w:rStyle w:val="FootnoteReference"/>
        </w:rPr>
        <w:footnoteReference w:id="14"/>
      </w:r>
      <w:r w:rsidR="00C873DC">
        <w:t xml:space="preserve">  </w:t>
      </w:r>
    </w:p>
    <w:p w:rsidR="00E15C3F" w:rsidRDefault="00E15C3F" w:rsidP="003E1853">
      <w:pPr>
        <w:widowControl w:val="0"/>
      </w:pPr>
    </w:p>
    <w:p w:rsidR="003E1853" w:rsidRDefault="0090313E" w:rsidP="003E1853">
      <w:r>
        <w:t>We</w:t>
      </w:r>
      <w:r w:rsidR="003E1853">
        <w:t xml:space="preserve"> will use the Wheaton and </w:t>
      </w:r>
      <w:proofErr w:type="spellStart"/>
      <w:r w:rsidR="003E1853">
        <w:t>Torto</w:t>
      </w:r>
      <w:proofErr w:type="spellEnd"/>
      <w:r w:rsidR="003E1853">
        <w:t xml:space="preserve"> equation to test the relationship of real rents (dependent variable) with the market vacancy rate (independent variable), shown below:</w:t>
      </w:r>
    </w:p>
    <w:p w:rsidR="003E1853" w:rsidRDefault="003E1853" w:rsidP="003E1853">
      <w:pPr>
        <w:jc w:val="right"/>
        <w:rPr>
          <w:rFonts w:ascii="Times New Roman" w:hAnsi="Times New Roman"/>
          <w:i/>
        </w:rPr>
      </w:pPr>
    </w:p>
    <w:p w:rsidR="003E1853" w:rsidRPr="005843F8" w:rsidRDefault="003E1853" w:rsidP="003E1853">
      <w:pPr>
        <w:jc w:val="right"/>
        <w:rPr>
          <w:rFonts w:ascii="Times New Roman" w:hAnsi="Times New Roman"/>
          <w:i/>
        </w:rPr>
      </w:pPr>
      <w:proofErr w:type="gramStart"/>
      <w:r w:rsidRPr="00381FDA">
        <w:rPr>
          <w:rFonts w:ascii="Times New Roman" w:hAnsi="Times New Roman"/>
          <w:i/>
          <w:sz w:val="24"/>
          <w:szCs w:val="24"/>
        </w:rPr>
        <w:t>R</w:t>
      </w:r>
      <w:r w:rsidRPr="00381FDA">
        <w:rPr>
          <w:rFonts w:ascii="Times New Roman" w:hAnsi="Times New Roman"/>
          <w:i/>
          <w:sz w:val="24"/>
          <w:szCs w:val="24"/>
          <w:vertAlign w:val="subscript"/>
        </w:rPr>
        <w:t>r</w:t>
      </w:r>
      <w:proofErr w:type="gramEnd"/>
      <w:r w:rsidRPr="00381FDA">
        <w:rPr>
          <w:rFonts w:ascii="Times New Roman" w:hAnsi="Times New Roman"/>
          <w:i/>
          <w:sz w:val="24"/>
          <w:szCs w:val="24"/>
        </w:rPr>
        <w:t xml:space="preserve"> = b</w:t>
      </w:r>
      <w:r w:rsidRPr="00381FDA">
        <w:rPr>
          <w:rFonts w:ascii="Times New Roman" w:hAnsi="Times New Roman"/>
          <w:i/>
          <w:sz w:val="24"/>
          <w:szCs w:val="24"/>
          <w:vertAlign w:val="subscript"/>
        </w:rPr>
        <w:t xml:space="preserve">0 </w:t>
      </w:r>
      <w:r w:rsidRPr="00381FDA">
        <w:rPr>
          <w:rFonts w:ascii="Times New Roman" w:hAnsi="Times New Roman"/>
          <w:i/>
          <w:sz w:val="24"/>
          <w:szCs w:val="24"/>
        </w:rPr>
        <w:t>– b</w:t>
      </w:r>
      <w:r w:rsidRPr="00381FDA">
        <w:rPr>
          <w:rFonts w:ascii="Times New Roman" w:hAnsi="Times New Roman"/>
          <w:i/>
          <w:sz w:val="24"/>
          <w:szCs w:val="24"/>
          <w:vertAlign w:val="subscript"/>
        </w:rPr>
        <w:t>1</w:t>
      </w:r>
      <w:r w:rsidRPr="00381FDA">
        <w:rPr>
          <w:rFonts w:ascii="Times New Roman" w:hAnsi="Times New Roman"/>
          <w:i/>
          <w:sz w:val="24"/>
          <w:szCs w:val="24"/>
        </w:rPr>
        <w:t xml:space="preserve">V    </w:t>
      </w:r>
      <w:r>
        <w:rPr>
          <w:rFonts w:ascii="Times New Roman" w:hAnsi="Times New Roman"/>
          <w:i/>
        </w:rPr>
        <w:t xml:space="preserve">                                                                         </w:t>
      </w:r>
      <w:r>
        <w:rPr>
          <w:rFonts w:ascii="Times New Roman" w:hAnsi="Times New Roman"/>
        </w:rPr>
        <w:t>(3</w:t>
      </w:r>
      <w:r w:rsidRPr="00770F23">
        <w:rPr>
          <w:rFonts w:ascii="Times New Roman" w:hAnsi="Times New Roman"/>
        </w:rPr>
        <w:t>)</w:t>
      </w:r>
    </w:p>
    <w:p w:rsidR="003E1853" w:rsidRDefault="003E1853" w:rsidP="003E1853">
      <w:pPr>
        <w:jc w:val="center"/>
        <w:rPr>
          <w:rFonts w:cs="Arial"/>
        </w:rPr>
      </w:pPr>
    </w:p>
    <w:p w:rsidR="003E1853" w:rsidRDefault="003E1853" w:rsidP="003E1853">
      <w:pPr>
        <w:rPr>
          <w:rFonts w:cs="Arial"/>
        </w:rPr>
      </w:pPr>
      <w:proofErr w:type="gramStart"/>
      <w:r>
        <w:rPr>
          <w:rFonts w:cs="Arial"/>
        </w:rPr>
        <w:t>where</w:t>
      </w:r>
      <w:proofErr w:type="gramEnd"/>
      <w:r>
        <w:rPr>
          <w:rFonts w:cs="Arial"/>
        </w:rPr>
        <w:t xml:space="preserve"> </w:t>
      </w:r>
      <w:r>
        <w:rPr>
          <w:rFonts w:ascii="Times New Roman" w:hAnsi="Times New Roman"/>
          <w:i/>
        </w:rPr>
        <w:t>R</w:t>
      </w:r>
      <w:r>
        <w:rPr>
          <w:rFonts w:ascii="Times New Roman" w:hAnsi="Times New Roman"/>
          <w:i/>
          <w:vertAlign w:val="subscript"/>
        </w:rPr>
        <w:t xml:space="preserve">r </w:t>
      </w:r>
      <w:r>
        <w:rPr>
          <w:rFonts w:cs="Arial"/>
        </w:rPr>
        <w:t xml:space="preserve"> is the change in real rents and </w:t>
      </w:r>
      <w:r w:rsidR="00E15C3F" w:rsidRPr="00381FDA">
        <w:rPr>
          <w:rFonts w:ascii="Times New Roman" w:hAnsi="Times New Roman"/>
          <w:i/>
          <w:sz w:val="24"/>
          <w:szCs w:val="24"/>
        </w:rPr>
        <w:t>V</w:t>
      </w:r>
      <w:r>
        <w:rPr>
          <w:rFonts w:cs="Arial"/>
        </w:rPr>
        <w:t xml:space="preserve"> is the corresponding vacancy rate.</w:t>
      </w:r>
    </w:p>
    <w:p w:rsidR="003E1853" w:rsidRDefault="003E1853" w:rsidP="003E1853">
      <w:pPr>
        <w:rPr>
          <w:rFonts w:cs="Arial"/>
        </w:rPr>
      </w:pPr>
    </w:p>
    <w:p w:rsidR="003E1853" w:rsidRDefault="003E1853" w:rsidP="003E1853">
      <w:pPr>
        <w:rPr>
          <w:rFonts w:cs="Arial"/>
        </w:rPr>
      </w:pPr>
      <w:r>
        <w:rPr>
          <w:rFonts w:cs="Arial"/>
        </w:rPr>
        <w:t xml:space="preserve">The equilibrium vacancy rate will be the quotient of the estimated constant term (intercept) in the regression equation divided by the estimated independent variable coefficient. </w:t>
      </w:r>
    </w:p>
    <w:p w:rsidR="003E1853" w:rsidRPr="009E52A7" w:rsidRDefault="003E1853" w:rsidP="003E1853">
      <w:pPr>
        <w:rPr>
          <w:rFonts w:cs="Arial"/>
        </w:rPr>
      </w:pPr>
    </w:p>
    <w:p w:rsidR="003E1853" w:rsidRPr="005843F8" w:rsidRDefault="003E1853" w:rsidP="003E1853">
      <w:pPr>
        <w:jc w:val="right"/>
        <w:rPr>
          <w:rFonts w:ascii="Times New Roman" w:hAnsi="Times New Roman"/>
          <w:i/>
        </w:rPr>
      </w:pPr>
      <w:proofErr w:type="spellStart"/>
      <w:r w:rsidRPr="00381FDA">
        <w:rPr>
          <w:rFonts w:ascii="Times New Roman" w:hAnsi="Times New Roman"/>
          <w:i/>
          <w:sz w:val="24"/>
          <w:szCs w:val="24"/>
        </w:rPr>
        <w:t>V</w:t>
      </w:r>
      <w:r>
        <w:rPr>
          <w:rFonts w:ascii="Times New Roman" w:hAnsi="Times New Roman"/>
          <w:i/>
          <w:sz w:val="24"/>
          <w:szCs w:val="24"/>
          <w:vertAlign w:val="subscript"/>
        </w:rPr>
        <w:t>e</w:t>
      </w:r>
      <w:proofErr w:type="spellEnd"/>
      <w:r w:rsidRPr="00381FDA">
        <w:rPr>
          <w:rFonts w:ascii="Times New Roman" w:hAnsi="Times New Roman"/>
          <w:i/>
          <w:sz w:val="24"/>
          <w:szCs w:val="24"/>
        </w:rPr>
        <w:t xml:space="preserve"> = </w:t>
      </w:r>
      <w:proofErr w:type="gramStart"/>
      <w:r w:rsidRPr="00381FDA">
        <w:rPr>
          <w:rFonts w:ascii="Times New Roman" w:hAnsi="Times New Roman"/>
          <w:i/>
          <w:sz w:val="24"/>
          <w:szCs w:val="24"/>
        </w:rPr>
        <w:t>b</w:t>
      </w:r>
      <w:r w:rsidRPr="00381FDA">
        <w:rPr>
          <w:rFonts w:ascii="Times New Roman" w:hAnsi="Times New Roman"/>
          <w:i/>
          <w:sz w:val="24"/>
          <w:szCs w:val="24"/>
          <w:vertAlign w:val="subscript"/>
        </w:rPr>
        <w:t xml:space="preserve">0 </w:t>
      </w:r>
      <w:r w:rsidRPr="00381FDA">
        <w:rPr>
          <w:rFonts w:ascii="Times New Roman" w:hAnsi="Times New Roman"/>
          <w:i/>
          <w:sz w:val="24"/>
          <w:szCs w:val="24"/>
        </w:rPr>
        <w:t xml:space="preserve"> ÷</w:t>
      </w:r>
      <w:proofErr w:type="gramEnd"/>
      <w:r w:rsidRPr="00381FDA">
        <w:rPr>
          <w:rFonts w:ascii="Times New Roman" w:hAnsi="Times New Roman"/>
          <w:i/>
          <w:sz w:val="24"/>
          <w:szCs w:val="24"/>
        </w:rPr>
        <w:t xml:space="preserve">  b</w:t>
      </w:r>
      <w:r w:rsidRPr="00381FDA">
        <w:rPr>
          <w:rFonts w:ascii="Times New Roman" w:hAnsi="Times New Roman"/>
          <w:i/>
          <w:sz w:val="24"/>
          <w:szCs w:val="24"/>
          <w:vertAlign w:val="subscript"/>
        </w:rPr>
        <w:t>1</w:t>
      </w:r>
      <w:r>
        <w:rPr>
          <w:rFonts w:ascii="Times New Roman" w:hAnsi="Times New Roman"/>
          <w:i/>
        </w:rPr>
        <w:t xml:space="preserve">                                                                             </w:t>
      </w:r>
      <w:r>
        <w:rPr>
          <w:rFonts w:ascii="Times New Roman" w:hAnsi="Times New Roman"/>
        </w:rPr>
        <w:t>(4</w:t>
      </w:r>
      <w:r w:rsidRPr="00770F23">
        <w:rPr>
          <w:rFonts w:ascii="Times New Roman" w:hAnsi="Times New Roman"/>
        </w:rPr>
        <w:t>)</w:t>
      </w:r>
    </w:p>
    <w:p w:rsidR="0090313E" w:rsidRDefault="0090313E" w:rsidP="003E1853"/>
    <w:p w:rsidR="003E1853" w:rsidRDefault="009B619A" w:rsidP="003E1853">
      <w:r>
        <w:rPr>
          <w:noProof/>
        </w:rPr>
        <w:pict>
          <v:shape id="_x0000_s1077" type="#_x0000_t75" style="position:absolute;left:0;text-align:left;margin-left:0;margin-top:45.95pt;width:526.7pt;height:91.85pt;z-index:251722752;mso-position-horizontal:center">
            <v:imagedata r:id="rId11" o:title=""/>
            <w10:wrap type="square"/>
          </v:shape>
          <o:OLEObject Type="Embed" ProgID="Excel.Sheet.12" ShapeID="_x0000_s1077" DrawAspect="Content" ObjectID="_1458473536" r:id="rId12"/>
        </w:pict>
      </w:r>
      <w:r w:rsidR="003E1853">
        <w:t xml:space="preserve">The regression of the quarterly observations of average real rent and the corresponding reported vacancy rate </w:t>
      </w:r>
      <w:r w:rsidR="0090313E">
        <w:t xml:space="preserve">for each city </w:t>
      </w:r>
      <w:r w:rsidR="00594DF5">
        <w:t>produced the following results in Exhibit 2 below:</w:t>
      </w:r>
    </w:p>
    <w:p w:rsidR="0090313E" w:rsidRDefault="0090313E" w:rsidP="003E1853"/>
    <w:p w:rsidR="00957C62" w:rsidRPr="003E1853" w:rsidRDefault="0090313E" w:rsidP="003E1853">
      <w:pPr>
        <w:rPr>
          <w:rFonts w:cs="Arial"/>
        </w:rPr>
      </w:pPr>
      <w:r>
        <w:t>For all cities,</w:t>
      </w:r>
      <w:r w:rsidR="003E1853">
        <w:t xml:space="preserve"> </w:t>
      </w:r>
      <w:r w:rsidR="0074717B">
        <w:t xml:space="preserve">the intercept and variable </w:t>
      </w:r>
      <w:r w:rsidR="003E1853">
        <w:t>coefficients are significant at the 5% level</w:t>
      </w:r>
      <w:r>
        <w:t xml:space="preserve">.  </w:t>
      </w:r>
      <w:proofErr w:type="gramStart"/>
      <w:r>
        <w:t>T</w:t>
      </w:r>
      <w:r w:rsidR="003E1853">
        <w:t>he coefficient</w:t>
      </w:r>
      <w:r>
        <w:t>s</w:t>
      </w:r>
      <w:r w:rsidR="003E1853">
        <w:t xml:space="preserve"> of determination (R</w:t>
      </w:r>
      <w:r w:rsidR="003E1853">
        <w:rPr>
          <w:vertAlign w:val="superscript"/>
        </w:rPr>
        <w:t>2</w:t>
      </w:r>
      <w:r w:rsidR="003E1853">
        <w:t xml:space="preserve">) </w:t>
      </w:r>
      <w:r>
        <w:t>range from an unreliable 0.01467 (Seattle) to a fairly reliable 0.4435 (San Diego).</w:t>
      </w:r>
      <w:proofErr w:type="gramEnd"/>
      <w:r>
        <w:t xml:space="preserve">   </w:t>
      </w:r>
    </w:p>
    <w:p w:rsidR="003E1853" w:rsidRDefault="003E1853"/>
    <w:p w:rsidR="00887613" w:rsidRDefault="0090313E" w:rsidP="00887613">
      <w:r>
        <w:t xml:space="preserve">In theory, using real rent </w:t>
      </w:r>
      <w:r w:rsidR="00D0436A">
        <w:t xml:space="preserve">would </w:t>
      </w:r>
      <w:r>
        <w:t xml:space="preserve">ideally </w:t>
      </w:r>
      <w:r w:rsidR="00D0436A">
        <w:t>e</w:t>
      </w:r>
      <w:r>
        <w:t xml:space="preserve">liminate the influence of inflation/deflation on the movement of rental rates.  This is predicated on the assumption that rental rates are noticeably affected by changes in the </w:t>
      </w:r>
      <w:r w:rsidR="00594DF5">
        <w:t xml:space="preserve">CPI, </w:t>
      </w:r>
      <w:r>
        <w:t xml:space="preserve">Consumer Price Index.  Since it is </w:t>
      </w:r>
      <w:r w:rsidR="00887613">
        <w:t xml:space="preserve">actually </w:t>
      </w:r>
      <w:r>
        <w:t>nominal rents that respond to contemporaneous changes vacancy rates, we tested this relationship</w:t>
      </w:r>
      <w:r w:rsidR="00594DF5">
        <w:t xml:space="preserve"> as well</w:t>
      </w:r>
      <w:r>
        <w:t>.</w:t>
      </w:r>
      <w:r w:rsidR="00887613" w:rsidRPr="00887613">
        <w:t xml:space="preserve"> </w:t>
      </w:r>
      <w:r w:rsidR="00887613">
        <w:t xml:space="preserve">We will use a variation of the Wheaton and </w:t>
      </w:r>
      <w:proofErr w:type="spellStart"/>
      <w:r w:rsidR="00887613">
        <w:t>Torto</w:t>
      </w:r>
      <w:proofErr w:type="spellEnd"/>
      <w:r w:rsidR="00887613">
        <w:t xml:space="preserve"> equation to test the relationship of nominal rents (dependent variable) with the market vacancy rate (independent variable), shown below:</w:t>
      </w:r>
    </w:p>
    <w:p w:rsidR="00887613" w:rsidRDefault="00887613" w:rsidP="00887613">
      <w:pPr>
        <w:jc w:val="right"/>
        <w:rPr>
          <w:rFonts w:ascii="Times New Roman" w:hAnsi="Times New Roman"/>
          <w:i/>
        </w:rPr>
      </w:pPr>
    </w:p>
    <w:p w:rsidR="00887613" w:rsidRPr="005843F8" w:rsidRDefault="00887613" w:rsidP="00887613">
      <w:pPr>
        <w:jc w:val="right"/>
        <w:rPr>
          <w:rFonts w:ascii="Times New Roman" w:hAnsi="Times New Roman"/>
          <w:i/>
        </w:rPr>
      </w:pPr>
      <w:r w:rsidRPr="00381FDA">
        <w:rPr>
          <w:rFonts w:ascii="Times New Roman" w:hAnsi="Times New Roman"/>
          <w:i/>
          <w:sz w:val="24"/>
          <w:szCs w:val="24"/>
        </w:rPr>
        <w:t>R</w:t>
      </w:r>
      <w:r>
        <w:rPr>
          <w:rFonts w:ascii="Times New Roman" w:hAnsi="Times New Roman"/>
          <w:i/>
          <w:sz w:val="24"/>
          <w:szCs w:val="24"/>
          <w:vertAlign w:val="subscript"/>
        </w:rPr>
        <w:t>n</w:t>
      </w:r>
      <w:r w:rsidRPr="00381FDA">
        <w:rPr>
          <w:rFonts w:ascii="Times New Roman" w:hAnsi="Times New Roman"/>
          <w:i/>
          <w:sz w:val="24"/>
          <w:szCs w:val="24"/>
        </w:rPr>
        <w:t xml:space="preserve"> = b</w:t>
      </w:r>
      <w:r w:rsidRPr="00381FDA">
        <w:rPr>
          <w:rFonts w:ascii="Times New Roman" w:hAnsi="Times New Roman"/>
          <w:i/>
          <w:sz w:val="24"/>
          <w:szCs w:val="24"/>
          <w:vertAlign w:val="subscript"/>
        </w:rPr>
        <w:t xml:space="preserve">0 </w:t>
      </w:r>
      <w:r w:rsidRPr="00381FDA">
        <w:rPr>
          <w:rFonts w:ascii="Times New Roman" w:hAnsi="Times New Roman"/>
          <w:i/>
          <w:sz w:val="24"/>
          <w:szCs w:val="24"/>
        </w:rPr>
        <w:t>– b</w:t>
      </w:r>
      <w:r w:rsidRPr="00381FDA">
        <w:rPr>
          <w:rFonts w:ascii="Times New Roman" w:hAnsi="Times New Roman"/>
          <w:i/>
          <w:sz w:val="24"/>
          <w:szCs w:val="24"/>
          <w:vertAlign w:val="subscript"/>
        </w:rPr>
        <w:t>1</w:t>
      </w:r>
      <w:r w:rsidRPr="00381FDA">
        <w:rPr>
          <w:rFonts w:ascii="Times New Roman" w:hAnsi="Times New Roman"/>
          <w:i/>
          <w:sz w:val="24"/>
          <w:szCs w:val="24"/>
        </w:rPr>
        <w:t xml:space="preserve">V    </w:t>
      </w:r>
      <w:r>
        <w:rPr>
          <w:rFonts w:ascii="Times New Roman" w:hAnsi="Times New Roman"/>
          <w:i/>
        </w:rPr>
        <w:t xml:space="preserve">                                                                         </w:t>
      </w:r>
      <w:r>
        <w:rPr>
          <w:rFonts w:ascii="Times New Roman" w:hAnsi="Times New Roman"/>
        </w:rPr>
        <w:t>(5</w:t>
      </w:r>
      <w:r w:rsidRPr="00770F23">
        <w:rPr>
          <w:rFonts w:ascii="Times New Roman" w:hAnsi="Times New Roman"/>
        </w:rPr>
        <w:t>)</w:t>
      </w:r>
    </w:p>
    <w:p w:rsidR="00FB472C" w:rsidRDefault="00FB472C" w:rsidP="00CD611B">
      <w:pPr>
        <w:rPr>
          <w:rFonts w:cs="Arial"/>
        </w:rPr>
      </w:pPr>
    </w:p>
    <w:p w:rsidR="00D00FC9" w:rsidRDefault="00887613">
      <w:pPr>
        <w:rPr>
          <w:rFonts w:cs="Arial"/>
        </w:rPr>
      </w:pPr>
      <w:proofErr w:type="gramStart"/>
      <w:r>
        <w:rPr>
          <w:rFonts w:cs="Arial"/>
        </w:rPr>
        <w:t>where</w:t>
      </w:r>
      <w:proofErr w:type="gramEnd"/>
      <w:r>
        <w:rPr>
          <w:rFonts w:cs="Arial"/>
        </w:rPr>
        <w:t xml:space="preserve"> </w:t>
      </w:r>
      <w:r>
        <w:rPr>
          <w:rFonts w:ascii="Times New Roman" w:hAnsi="Times New Roman"/>
          <w:i/>
        </w:rPr>
        <w:t>R</w:t>
      </w:r>
      <w:r>
        <w:rPr>
          <w:rFonts w:ascii="Times New Roman" w:hAnsi="Times New Roman"/>
          <w:i/>
          <w:vertAlign w:val="subscript"/>
        </w:rPr>
        <w:t>n</w:t>
      </w:r>
      <w:r>
        <w:rPr>
          <w:rFonts w:cs="Arial"/>
        </w:rPr>
        <w:t xml:space="preserve"> is the change in nominal rents and </w:t>
      </w:r>
      <w:r w:rsidRPr="00381FDA">
        <w:rPr>
          <w:rFonts w:ascii="Times New Roman" w:hAnsi="Times New Roman"/>
          <w:i/>
          <w:sz w:val="24"/>
          <w:szCs w:val="24"/>
        </w:rPr>
        <w:t>V</w:t>
      </w:r>
      <w:r>
        <w:rPr>
          <w:rFonts w:cs="Arial"/>
        </w:rPr>
        <w:t xml:space="preserve"> is the corresponding vacancy rate. </w:t>
      </w:r>
      <w:r w:rsidR="00594DF5">
        <w:rPr>
          <w:rFonts w:cs="Arial"/>
        </w:rPr>
        <w:t xml:space="preserve"> Exhibit 3 below shows the results with nominal rents.</w:t>
      </w:r>
      <w:r w:rsidR="00D00FC9">
        <w:rPr>
          <w:rFonts w:cs="Arial"/>
        </w:rPr>
        <w:br w:type="page"/>
      </w:r>
    </w:p>
    <w:p w:rsidR="00D00FC9" w:rsidRDefault="009B619A" w:rsidP="00594DF5">
      <w:r>
        <w:rPr>
          <w:noProof/>
        </w:rPr>
        <w:lastRenderedPageBreak/>
        <w:pict>
          <v:shape id="_x0000_s1092" type="#_x0000_t75" style="position:absolute;left:0;text-align:left;margin-left:-20.5pt;margin-top:19.1pt;width:503.6pt;height:92pt;z-index:251735040">
            <v:imagedata r:id="rId13" o:title=""/>
            <w10:wrap type="square"/>
          </v:shape>
          <o:OLEObject Type="Embed" ProgID="Excel.SheetBinaryMacroEnabled.12" ShapeID="_x0000_s1092" DrawAspect="Content" ObjectID="_1458473537" r:id="rId14"/>
        </w:pict>
      </w:r>
    </w:p>
    <w:p w:rsidR="0090313E" w:rsidRDefault="00D0436A" w:rsidP="00D0436A">
      <w:pPr>
        <w:widowControl w:val="0"/>
      </w:pPr>
      <w:r>
        <w:t>Again, for all cities, the intercept and variable coefficients are significant at the 5% level.  The coefficients of determination (R</w:t>
      </w:r>
      <w:r>
        <w:rPr>
          <w:vertAlign w:val="superscript"/>
        </w:rPr>
        <w:t>2</w:t>
      </w:r>
      <w:r>
        <w:t xml:space="preserve">) are </w:t>
      </w:r>
      <w:r w:rsidR="006605D1">
        <w:t>consistently higher, as are the t-statistics</w:t>
      </w:r>
      <w:r w:rsidR="00D00FC9">
        <w:t>,</w:t>
      </w:r>
      <w:r w:rsidR="006605D1">
        <w:t xml:space="preserve"> for both </w:t>
      </w:r>
      <w:r w:rsidR="00D00FC9">
        <w:t>the</w:t>
      </w:r>
      <w:r w:rsidR="006605D1">
        <w:t xml:space="preserve"> intercept and the variable.</w:t>
      </w:r>
      <w:r w:rsidR="00594DF5">
        <w:t xml:space="preserve">  It might be the case that the CPI is a poor measure of inflation and simply adds noise to the results.</w:t>
      </w:r>
    </w:p>
    <w:p w:rsidR="0090313E" w:rsidRDefault="0090313E" w:rsidP="00CD611B"/>
    <w:p w:rsidR="00CD611B" w:rsidRDefault="00D0436A" w:rsidP="00CD611B">
      <w:pPr>
        <w:rPr>
          <w:rFonts w:cs="Arial"/>
        </w:rPr>
      </w:pPr>
      <w:r>
        <w:t xml:space="preserve">Under both the real and nominal relationships we tested </w:t>
      </w:r>
      <w:r w:rsidR="00CD611B">
        <w:t>lagged vacancy rate</w:t>
      </w:r>
      <w:r>
        <w:t>s</w:t>
      </w:r>
      <w:r w:rsidR="00CD611B">
        <w:t xml:space="preserve"> to determine if the market registered a delayed response to a vacancy rate. This is based on the possibility that variations in vacancy rates may affect average rents with a lag. There is no standard lag period, but most studies have used 6-months, possibly because that was the periodic spacing of their data.  </w:t>
      </w:r>
      <w:r>
        <w:t>We</w:t>
      </w:r>
      <w:r w:rsidR="00CD611B">
        <w:t xml:space="preserve"> employ</w:t>
      </w:r>
      <w:r>
        <w:t>ed</w:t>
      </w:r>
      <w:r w:rsidR="00CD611B">
        <w:t xml:space="preserve"> one-quarter lag using </w:t>
      </w:r>
      <w:r w:rsidR="00CD611B">
        <w:rPr>
          <w:rFonts w:cs="Arial"/>
        </w:rPr>
        <w:t>Formula</w:t>
      </w:r>
      <w:r w:rsidR="00887613">
        <w:rPr>
          <w:rFonts w:cs="Arial"/>
        </w:rPr>
        <w:t>s</w:t>
      </w:r>
      <w:r w:rsidR="00CD611B">
        <w:rPr>
          <w:rFonts w:cs="Arial"/>
        </w:rPr>
        <w:t xml:space="preserve"> (3)</w:t>
      </w:r>
      <w:r w:rsidR="00887613">
        <w:rPr>
          <w:rFonts w:cs="Arial"/>
        </w:rPr>
        <w:t xml:space="preserve"> and (5)</w:t>
      </w:r>
      <w:r w:rsidR="00CD611B">
        <w:rPr>
          <w:rFonts w:cs="Arial"/>
        </w:rPr>
        <w:t xml:space="preserve"> modified, as shown below:</w:t>
      </w:r>
    </w:p>
    <w:p w:rsidR="00CD611B" w:rsidRDefault="00CD611B" w:rsidP="00CD611B">
      <w:pPr>
        <w:rPr>
          <w:rFonts w:cs="Arial"/>
        </w:rPr>
      </w:pPr>
      <w:r>
        <w:rPr>
          <w:rFonts w:cs="Arial"/>
        </w:rPr>
        <w:t xml:space="preserve">  </w:t>
      </w:r>
    </w:p>
    <w:p w:rsidR="00CD611B" w:rsidRPr="005843F8" w:rsidRDefault="00CD611B" w:rsidP="00CD611B">
      <w:pPr>
        <w:jc w:val="right"/>
        <w:rPr>
          <w:rFonts w:ascii="Times New Roman" w:hAnsi="Times New Roman"/>
          <w:i/>
        </w:rPr>
      </w:pPr>
      <w:r w:rsidRPr="00381FDA">
        <w:rPr>
          <w:rFonts w:ascii="Times New Roman" w:hAnsi="Times New Roman"/>
          <w:i/>
          <w:sz w:val="24"/>
          <w:szCs w:val="24"/>
        </w:rPr>
        <w:t>R</w:t>
      </w:r>
      <w:r w:rsidRPr="00381FDA">
        <w:rPr>
          <w:rFonts w:ascii="Times New Roman" w:hAnsi="Times New Roman"/>
          <w:i/>
          <w:sz w:val="24"/>
          <w:szCs w:val="24"/>
          <w:vertAlign w:val="subscript"/>
        </w:rPr>
        <w:t>r</w:t>
      </w:r>
      <w:r w:rsidR="00887613">
        <w:rPr>
          <w:rFonts w:ascii="Times New Roman" w:hAnsi="Times New Roman"/>
          <w:i/>
          <w:sz w:val="24"/>
          <w:szCs w:val="24"/>
          <w:vertAlign w:val="subscript"/>
        </w:rPr>
        <w:t>/n</w:t>
      </w:r>
      <w:r w:rsidRPr="00381FDA">
        <w:rPr>
          <w:rFonts w:ascii="Times New Roman" w:hAnsi="Times New Roman"/>
          <w:i/>
          <w:sz w:val="24"/>
          <w:szCs w:val="24"/>
        </w:rPr>
        <w:t xml:space="preserve"> = b</w:t>
      </w:r>
      <w:r w:rsidRPr="00381FDA">
        <w:rPr>
          <w:rFonts w:ascii="Times New Roman" w:hAnsi="Times New Roman"/>
          <w:i/>
          <w:sz w:val="24"/>
          <w:szCs w:val="24"/>
          <w:vertAlign w:val="subscript"/>
        </w:rPr>
        <w:t xml:space="preserve">0 </w:t>
      </w:r>
      <w:r w:rsidRPr="00381FDA">
        <w:rPr>
          <w:rFonts w:ascii="Times New Roman" w:hAnsi="Times New Roman"/>
          <w:i/>
          <w:sz w:val="24"/>
          <w:szCs w:val="24"/>
        </w:rPr>
        <w:t>– b</w:t>
      </w:r>
      <w:r w:rsidRPr="00381FDA">
        <w:rPr>
          <w:rFonts w:ascii="Times New Roman" w:hAnsi="Times New Roman"/>
          <w:i/>
          <w:sz w:val="24"/>
          <w:szCs w:val="24"/>
          <w:vertAlign w:val="subscript"/>
        </w:rPr>
        <w:t>1</w:t>
      </w:r>
      <w:r w:rsidRPr="00381FDA">
        <w:rPr>
          <w:rFonts w:ascii="Times New Roman" w:hAnsi="Times New Roman"/>
          <w:i/>
          <w:sz w:val="24"/>
          <w:szCs w:val="24"/>
        </w:rPr>
        <w:t>V</w:t>
      </w:r>
      <w:r w:rsidRPr="00381FDA">
        <w:rPr>
          <w:rFonts w:ascii="Times New Roman" w:hAnsi="Times New Roman"/>
          <w:i/>
          <w:sz w:val="24"/>
          <w:szCs w:val="24"/>
          <w:vertAlign w:val="subscript"/>
        </w:rPr>
        <w:t>t-1</w:t>
      </w:r>
      <w:r>
        <w:rPr>
          <w:rFonts w:ascii="Times New Roman" w:hAnsi="Times New Roman"/>
          <w:i/>
        </w:rPr>
        <w:t xml:space="preserve">                                                                             </w:t>
      </w:r>
      <w:r>
        <w:rPr>
          <w:rFonts w:ascii="Times New Roman" w:hAnsi="Times New Roman"/>
        </w:rPr>
        <w:t>(6</w:t>
      </w:r>
      <w:r w:rsidRPr="00770F23">
        <w:rPr>
          <w:rFonts w:ascii="Times New Roman" w:hAnsi="Times New Roman"/>
        </w:rPr>
        <w:t>)</w:t>
      </w:r>
    </w:p>
    <w:p w:rsidR="00CD611B" w:rsidRDefault="00CD611B" w:rsidP="00CD611B">
      <w:pPr>
        <w:rPr>
          <w:rFonts w:cs="Arial"/>
        </w:rPr>
      </w:pPr>
    </w:p>
    <w:p w:rsidR="00CD611B" w:rsidRDefault="00CD611B" w:rsidP="00CD611B">
      <w:pPr>
        <w:rPr>
          <w:rFonts w:cs="Arial"/>
        </w:rPr>
      </w:pPr>
      <w:proofErr w:type="gramStart"/>
      <w:r>
        <w:rPr>
          <w:rFonts w:cs="Arial"/>
        </w:rPr>
        <w:t>where</w:t>
      </w:r>
      <w:proofErr w:type="gramEnd"/>
      <w:r>
        <w:rPr>
          <w:rFonts w:cs="Arial"/>
        </w:rPr>
        <w:t xml:space="preserve"> </w:t>
      </w:r>
      <w:r>
        <w:rPr>
          <w:rFonts w:ascii="Times New Roman" w:hAnsi="Times New Roman"/>
          <w:i/>
        </w:rPr>
        <w:t>V</w:t>
      </w:r>
      <w:r>
        <w:rPr>
          <w:rFonts w:ascii="Times New Roman" w:hAnsi="Times New Roman"/>
          <w:i/>
          <w:vertAlign w:val="subscript"/>
        </w:rPr>
        <w:t>t-1</w:t>
      </w:r>
      <w:r>
        <w:rPr>
          <w:rFonts w:ascii="Times New Roman" w:hAnsi="Times New Roman"/>
          <w:i/>
        </w:rPr>
        <w:t xml:space="preserve"> </w:t>
      </w:r>
      <w:r>
        <w:rPr>
          <w:rFonts w:cs="Arial"/>
        </w:rPr>
        <w:t>is the actual vacancy rate delayed one period.</w:t>
      </w:r>
    </w:p>
    <w:p w:rsidR="00CD611B" w:rsidRDefault="00CD611B" w:rsidP="00CD611B">
      <w:pPr>
        <w:rPr>
          <w:rFonts w:cs="Arial"/>
        </w:rPr>
      </w:pPr>
      <w:r>
        <w:rPr>
          <w:rFonts w:cs="Arial"/>
        </w:rPr>
        <w:t xml:space="preserve">  </w:t>
      </w:r>
    </w:p>
    <w:p w:rsidR="00E63991" w:rsidRDefault="00CD611B" w:rsidP="00D0436A">
      <w:r>
        <w:t xml:space="preserve">Using formula (6), </w:t>
      </w:r>
      <w:r w:rsidR="00D0436A">
        <w:t xml:space="preserve">we regressed the real and nominal rent for each city and determined that there </w:t>
      </w:r>
      <w:proofErr w:type="gramStart"/>
      <w:r w:rsidR="00D0436A">
        <w:t>were no significant change</w:t>
      </w:r>
      <w:proofErr w:type="gramEnd"/>
      <w:r w:rsidR="00D0436A">
        <w:t xml:space="preserve"> in the results (equilibrium rent similar with no noticeable improvement in R</w:t>
      </w:r>
      <w:r w:rsidR="00D0436A">
        <w:rPr>
          <w:vertAlign w:val="superscript"/>
        </w:rPr>
        <w:t>2</w:t>
      </w:r>
      <w:r w:rsidR="00D0436A">
        <w:t>s).</w:t>
      </w:r>
      <w:r w:rsidR="006605D1">
        <w:t xml:space="preserve">  </w:t>
      </w:r>
    </w:p>
    <w:p w:rsidR="00E63991" w:rsidRDefault="00E63991" w:rsidP="00D0436A"/>
    <w:p w:rsidR="006605D1" w:rsidRDefault="006605D1" w:rsidP="00D0436A">
      <w:r>
        <w:t>We conclude that the results of regressing nominal rent with contemporaneous vacancy are superior to regressing real rent with contemporaneous vacancy; these results are also superior to regressing either nominal or real rent with delayed vacancy.</w:t>
      </w:r>
    </w:p>
    <w:p w:rsidR="00CD611B" w:rsidRDefault="00D0436A" w:rsidP="00D0436A">
      <w:r>
        <w:t xml:space="preserve"> </w:t>
      </w:r>
    </w:p>
    <w:p w:rsidR="003E1853" w:rsidRDefault="00C010C7" w:rsidP="003E1853">
      <w:pPr>
        <w:autoSpaceDE w:val="0"/>
        <w:autoSpaceDN w:val="0"/>
        <w:adjustRightInd w:val="0"/>
        <w:spacing w:before="4"/>
        <w:ind w:right="132"/>
        <w:rPr>
          <w:b/>
        </w:rPr>
      </w:pPr>
      <w:r>
        <w:rPr>
          <w:b/>
        </w:rPr>
        <w:t>Derivation</w:t>
      </w:r>
      <w:r w:rsidR="003E1853">
        <w:rPr>
          <w:b/>
        </w:rPr>
        <w:t xml:space="preserve"> 2 – Long Run Average Vacancy Rate</w:t>
      </w:r>
      <w:r w:rsidR="004B3660">
        <w:rPr>
          <w:b/>
        </w:rPr>
        <w:t>s</w:t>
      </w:r>
    </w:p>
    <w:p w:rsidR="00F855AC" w:rsidRDefault="00F855AC" w:rsidP="004B3660">
      <w:pPr>
        <w:spacing w:before="100" w:beforeAutospacing="1"/>
        <w:rPr>
          <w:rFonts w:eastAsia="Times New Roman" w:cs="Arial"/>
          <w:snapToGrid/>
          <w:color w:val="000000"/>
          <w:spacing w:val="0"/>
          <w:szCs w:val="22"/>
        </w:rPr>
      </w:pPr>
      <w:r>
        <w:t>This approach de-links the rental rate from the vacancy rate, and focuses on</w:t>
      </w:r>
      <w:r w:rsidR="00F845C1">
        <w:t xml:space="preserve">ly on </w:t>
      </w:r>
      <w:r>
        <w:t xml:space="preserve">the vacancy rate.  </w:t>
      </w:r>
      <w:r w:rsidR="00F845C1">
        <w:t>I</w:t>
      </w:r>
      <w:r>
        <w:t xml:space="preserve">n order </w:t>
      </w:r>
      <w:r w:rsidR="00691D7C">
        <w:t xml:space="preserve">for this approach </w:t>
      </w:r>
      <w:r>
        <w:t xml:space="preserve">to </w:t>
      </w:r>
      <w:r w:rsidR="00691D7C">
        <w:t>produce</w:t>
      </w:r>
      <w:r>
        <w:t xml:space="preserve"> credible results, the data </w:t>
      </w:r>
      <w:r w:rsidR="00965654">
        <w:t>set</w:t>
      </w:r>
      <w:r w:rsidR="00691D7C">
        <w:t xml:space="preserve"> must demonstrate </w:t>
      </w:r>
      <w:r w:rsidR="00691D7C">
        <w:lastRenderedPageBreak/>
        <w:t>sufficient</w:t>
      </w:r>
      <w:r w:rsidR="00965654">
        <w:t xml:space="preserve"> fluctuation – i.e., </w:t>
      </w:r>
      <w:r w:rsidR="00691D7C">
        <w:t xml:space="preserve">it must </w:t>
      </w:r>
      <w:r>
        <w:rPr>
          <w:rFonts w:eastAsia="Times New Roman" w:cs="Arial"/>
          <w:snapToGrid/>
          <w:color w:val="000000"/>
          <w:spacing w:val="0"/>
          <w:szCs w:val="22"/>
        </w:rPr>
        <w:t>have</w:t>
      </w:r>
      <w:r w:rsidRPr="00F855AC">
        <w:rPr>
          <w:rFonts w:eastAsia="Times New Roman" w:cs="Arial"/>
          <w:snapToGrid/>
          <w:color w:val="000000"/>
          <w:spacing w:val="0"/>
          <w:szCs w:val="22"/>
        </w:rPr>
        <w:t xml:space="preserve"> segments of a down market (</w:t>
      </w:r>
      <w:r>
        <w:rPr>
          <w:rFonts w:eastAsia="Times New Roman" w:cs="Arial"/>
          <w:snapToGrid/>
          <w:color w:val="000000"/>
          <w:spacing w:val="0"/>
          <w:szCs w:val="22"/>
        </w:rPr>
        <w:t xml:space="preserve">increasing vacancy rates and </w:t>
      </w:r>
      <w:r w:rsidRPr="00F855AC">
        <w:rPr>
          <w:rFonts w:eastAsia="Times New Roman" w:cs="Arial"/>
          <w:snapToGrid/>
          <w:color w:val="000000"/>
          <w:spacing w:val="0"/>
          <w:szCs w:val="22"/>
        </w:rPr>
        <w:t xml:space="preserve">declining rental rates) </w:t>
      </w:r>
      <w:r>
        <w:rPr>
          <w:rFonts w:eastAsia="Times New Roman" w:cs="Arial"/>
          <w:snapToGrid/>
          <w:color w:val="000000"/>
          <w:spacing w:val="0"/>
          <w:szCs w:val="22"/>
        </w:rPr>
        <w:t xml:space="preserve">as well as </w:t>
      </w:r>
      <w:r w:rsidR="00910E93">
        <w:rPr>
          <w:rFonts w:eastAsia="Times New Roman" w:cs="Arial"/>
          <w:snapToGrid/>
          <w:color w:val="000000"/>
          <w:spacing w:val="0"/>
          <w:szCs w:val="22"/>
        </w:rPr>
        <w:t xml:space="preserve">segments of an up market (decreasing vacancy rates and </w:t>
      </w:r>
      <w:r w:rsidR="00594DF5">
        <w:rPr>
          <w:noProof/>
        </w:rPr>
        <w:pict>
          <v:shape id="_x0000_s1093" type="#_x0000_t75" style="position:absolute;left:0;text-align:left;margin-left:-44pt;margin-top:91.7pt;width:526.7pt;height:56.8pt;z-index:251736064;mso-position-horizontal-relative:text;mso-position-vertical-relative:text">
            <v:imagedata r:id="rId15" o:title=""/>
            <w10:wrap type="square"/>
          </v:shape>
          <o:OLEObject Type="Embed" ProgID="Excel.Sheet.12" ShapeID="_x0000_s1093" DrawAspect="Content" ObjectID="_1458473538" r:id="rId16"/>
        </w:pict>
      </w:r>
      <w:r w:rsidR="00910E93">
        <w:rPr>
          <w:rFonts w:eastAsia="Times New Roman" w:cs="Arial"/>
          <w:snapToGrid/>
          <w:color w:val="000000"/>
          <w:spacing w:val="0"/>
          <w:szCs w:val="22"/>
        </w:rPr>
        <w:t xml:space="preserve">increasing rental rates).  </w:t>
      </w:r>
      <w:r w:rsidR="00D0436A">
        <w:rPr>
          <w:rFonts w:eastAsia="Times New Roman" w:cs="Arial"/>
          <w:snapToGrid/>
          <w:color w:val="000000"/>
          <w:spacing w:val="0"/>
          <w:szCs w:val="22"/>
        </w:rPr>
        <w:t xml:space="preserve">We calculated both the mean and the medium over the study period for </w:t>
      </w:r>
      <w:r w:rsidR="00594DF5">
        <w:rPr>
          <w:rFonts w:eastAsia="Times New Roman" w:cs="Arial"/>
          <w:snapToGrid/>
          <w:color w:val="000000"/>
          <w:spacing w:val="0"/>
          <w:szCs w:val="22"/>
        </w:rPr>
        <w:t>each city.  The results are shown below</w:t>
      </w:r>
      <w:r w:rsidR="00594DF5">
        <w:rPr>
          <w:rFonts w:eastAsia="Times New Roman" w:cs="Arial"/>
          <w:snapToGrid/>
          <w:color w:val="000000"/>
          <w:spacing w:val="0"/>
          <w:szCs w:val="22"/>
        </w:rPr>
        <w:t xml:space="preserve"> in Exhibit 4</w:t>
      </w:r>
      <w:r w:rsidR="00594DF5">
        <w:rPr>
          <w:rFonts w:eastAsia="Times New Roman" w:cs="Arial"/>
          <w:snapToGrid/>
          <w:color w:val="000000"/>
          <w:spacing w:val="0"/>
          <w:szCs w:val="22"/>
        </w:rPr>
        <w:t>:</w:t>
      </w:r>
    </w:p>
    <w:p w:rsidR="00F855AC" w:rsidRDefault="004B3660" w:rsidP="004B3660">
      <w:pPr>
        <w:spacing w:before="240"/>
      </w:pPr>
      <w:r>
        <w:t>T</w:t>
      </w:r>
      <w:r w:rsidR="00F855AC">
        <w:t xml:space="preserve">he </w:t>
      </w:r>
      <w:r w:rsidR="00046E88">
        <w:t>consistent similari</w:t>
      </w:r>
      <w:r w:rsidR="00F855AC">
        <w:t>ty of the</w:t>
      </w:r>
      <w:r>
        <w:t xml:space="preserve"> median to the mean is interpreted </w:t>
      </w:r>
      <w:r w:rsidR="00046E88">
        <w:t xml:space="preserve">as indicating </w:t>
      </w:r>
      <w:r w:rsidR="00F855AC">
        <w:t>that the sample</w:t>
      </w:r>
      <w:r>
        <w:t>s</w:t>
      </w:r>
      <w:r w:rsidR="00594DF5">
        <w:t xml:space="preserve"> approximate a symmetric </w:t>
      </w:r>
      <w:r w:rsidR="00F855AC">
        <w:t>distribution</w:t>
      </w:r>
      <w:r w:rsidR="00965654">
        <w:t xml:space="preserve"> and that the data meets the fluctuation criteria.</w:t>
      </w:r>
      <w:r w:rsidR="00F855AC">
        <w:t xml:space="preserve"> </w:t>
      </w:r>
    </w:p>
    <w:p w:rsidR="00800889" w:rsidRDefault="00800889" w:rsidP="00271EF6">
      <w:pPr>
        <w:autoSpaceDE w:val="0"/>
        <w:autoSpaceDN w:val="0"/>
        <w:adjustRightInd w:val="0"/>
        <w:spacing w:before="4"/>
        <w:ind w:right="132"/>
      </w:pPr>
    </w:p>
    <w:p w:rsidR="003E1853" w:rsidRDefault="006E7753" w:rsidP="00271EF6">
      <w:pPr>
        <w:autoSpaceDE w:val="0"/>
        <w:autoSpaceDN w:val="0"/>
        <w:adjustRightInd w:val="0"/>
        <w:spacing w:before="4"/>
        <w:ind w:right="132"/>
      </w:pPr>
      <w:r>
        <w:t xml:space="preserve">Clapp (1987) recommended that the average vacancy rate be “a reasonable starting point for estimating the normal </w:t>
      </w:r>
      <w:r w:rsidR="004B3660">
        <w:t xml:space="preserve">[equilibrium] </w:t>
      </w:r>
      <w:r>
        <w:t>vacancy rate.”</w:t>
      </w:r>
      <w:r w:rsidR="00691D7C">
        <w:rPr>
          <w:rStyle w:val="FootnoteReference"/>
        </w:rPr>
        <w:footnoteReference w:id="15"/>
      </w:r>
      <w:r>
        <w:t xml:space="preserve">  He recommended adjusting the average to reflect recent information on interest rates and expected demand growth.</w:t>
      </w:r>
      <w:r w:rsidR="00F87D6D">
        <w:t xml:space="preserve">  This implies that the rate is not constant over time and that its applicability</w:t>
      </w:r>
      <w:r w:rsidR="00BF0ACB">
        <w:t xml:space="preserve"> to the future</w:t>
      </w:r>
      <w:r w:rsidR="00F87D6D">
        <w:t xml:space="preserve"> could be affected by a change in market conditions not adequately represented in the data set.  </w:t>
      </w:r>
      <w:r>
        <w:t xml:space="preserve">This might be the case if the survey period is as short as the five- or ten-year period </w:t>
      </w:r>
      <w:r w:rsidR="00F87D6D">
        <w:t>(the time frame referenced by Clapp)</w:t>
      </w:r>
      <w:r>
        <w:t xml:space="preserve">.  In the present case, however, the </w:t>
      </w:r>
      <w:r w:rsidR="00101517">
        <w:t>extended</w:t>
      </w:r>
      <w:r>
        <w:t xml:space="preserve"> time frame </w:t>
      </w:r>
      <w:r w:rsidR="00101517">
        <w:t xml:space="preserve">for each city </w:t>
      </w:r>
      <w:r>
        <w:t xml:space="preserve">included a wide range of demand influencing factors, including </w:t>
      </w:r>
      <w:r w:rsidR="00691D7C">
        <w:t xml:space="preserve">a range of </w:t>
      </w:r>
      <w:r>
        <w:t xml:space="preserve">interest rates and growth, and therefore no adjustment </w:t>
      </w:r>
      <w:r w:rsidR="00101517">
        <w:t>would be</w:t>
      </w:r>
      <w:r>
        <w:t xml:space="preserve"> appropriate</w:t>
      </w:r>
      <w:r w:rsidR="00101517">
        <w:t xml:space="preserve"> going forward</w:t>
      </w:r>
      <w:r>
        <w:t>.</w:t>
      </w:r>
    </w:p>
    <w:p w:rsidR="00800889" w:rsidRDefault="00800889" w:rsidP="00847643">
      <w:pPr>
        <w:autoSpaceDE w:val="0"/>
        <w:autoSpaceDN w:val="0"/>
        <w:adjustRightInd w:val="0"/>
        <w:spacing w:before="4"/>
        <w:ind w:right="132"/>
        <w:rPr>
          <w:b/>
        </w:rPr>
      </w:pPr>
    </w:p>
    <w:p w:rsidR="00847643" w:rsidRDefault="00C010C7" w:rsidP="00046E88">
      <w:pPr>
        <w:rPr>
          <w:b/>
        </w:rPr>
      </w:pPr>
      <w:r>
        <w:rPr>
          <w:b/>
        </w:rPr>
        <w:t>Derivation</w:t>
      </w:r>
      <w:r w:rsidR="00847643">
        <w:rPr>
          <w:b/>
        </w:rPr>
        <w:t xml:space="preserve"> </w:t>
      </w:r>
      <w:r w:rsidR="00691D7C">
        <w:rPr>
          <w:b/>
        </w:rPr>
        <w:t>3</w:t>
      </w:r>
      <w:r w:rsidR="00847643">
        <w:rPr>
          <w:b/>
        </w:rPr>
        <w:t xml:space="preserve"> – Graphic Interpretation</w:t>
      </w:r>
    </w:p>
    <w:p w:rsidR="00847643" w:rsidRDefault="00847643" w:rsidP="00271EF6">
      <w:pPr>
        <w:autoSpaceDE w:val="0"/>
        <w:autoSpaceDN w:val="0"/>
        <w:adjustRightInd w:val="0"/>
        <w:spacing w:before="4"/>
        <w:ind w:right="132"/>
      </w:pPr>
    </w:p>
    <w:p w:rsidR="00271EF6" w:rsidRDefault="00847643" w:rsidP="00271EF6">
      <w:pPr>
        <w:autoSpaceDE w:val="0"/>
        <w:autoSpaceDN w:val="0"/>
        <w:adjustRightInd w:val="0"/>
        <w:spacing w:before="4"/>
        <w:ind w:right="132"/>
      </w:pPr>
      <w:r>
        <w:t>In graphic interpretation, t</w:t>
      </w:r>
      <w:r w:rsidR="00271EF6">
        <w:t xml:space="preserve">he independent </w:t>
      </w:r>
      <w:proofErr w:type="gramStart"/>
      <w:r w:rsidR="00271EF6">
        <w:t xml:space="preserve">variable </w:t>
      </w:r>
      <w:r w:rsidR="00101517">
        <w:t>for each city are</w:t>
      </w:r>
      <w:proofErr w:type="gramEnd"/>
      <w:r w:rsidR="00271EF6">
        <w:t xml:space="preserve"> </w:t>
      </w:r>
      <w:r w:rsidR="00101517">
        <w:t xml:space="preserve">the observed </w:t>
      </w:r>
      <w:r w:rsidR="00271EF6">
        <w:t>quarters and the</w:t>
      </w:r>
      <w:r>
        <w:t>re</w:t>
      </w:r>
      <w:r w:rsidR="00271EF6">
        <w:t xml:space="preserve"> will </w:t>
      </w:r>
      <w:r>
        <w:t xml:space="preserve">be </w:t>
      </w:r>
      <w:r w:rsidR="00271EF6">
        <w:t xml:space="preserve">two dependent variables: 1) average full service </w:t>
      </w:r>
      <w:r w:rsidR="00101517">
        <w:t xml:space="preserve">nominal </w:t>
      </w:r>
      <w:r w:rsidR="00271EF6">
        <w:t xml:space="preserve">rent per square foot; and, 2) the actual </w:t>
      </w:r>
      <w:r w:rsidR="00046E88">
        <w:t>occupancy</w:t>
      </w:r>
      <w:r w:rsidR="00271EF6">
        <w:t xml:space="preserve"> rate.</w:t>
      </w:r>
      <w:r w:rsidR="00046E88">
        <w:t xml:space="preserve"> We have used the occupancy rate in order to show the positive correlation between rent and occupancy.</w:t>
      </w:r>
      <w:r w:rsidR="00271EF6">
        <w:t xml:space="preserve">  </w:t>
      </w:r>
      <w:r w:rsidR="00046E88">
        <w:t xml:space="preserve">Representations </w:t>
      </w:r>
      <w:r w:rsidR="00101517">
        <w:t>of the results are shown below</w:t>
      </w:r>
      <w:r w:rsidR="003D751B">
        <w:t xml:space="preserve"> in Exhibits 5A (Atlanta) and 5B (San Diego)</w:t>
      </w:r>
      <w:r w:rsidR="00101517">
        <w:t>:</w:t>
      </w:r>
    </w:p>
    <w:p w:rsidR="001C4074" w:rsidRDefault="001C4074"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r>
        <w:rPr>
          <w:noProof/>
        </w:rPr>
        <w:lastRenderedPageBreak/>
        <w:drawing>
          <wp:anchor distT="0" distB="0" distL="114300" distR="114300" simplePos="0" relativeHeight="251727872" behindDoc="0" locked="0" layoutInCell="1" allowOverlap="1" wp14:anchorId="36672BC8" wp14:editId="2F07740B">
            <wp:simplePos x="0" y="0"/>
            <wp:positionH relativeFrom="column">
              <wp:posOffset>838200</wp:posOffset>
            </wp:positionH>
            <wp:positionV relativeFrom="paragraph">
              <wp:posOffset>-228600</wp:posOffset>
            </wp:positionV>
            <wp:extent cx="4514850" cy="3457575"/>
            <wp:effectExtent l="0" t="0" r="0" b="9525"/>
            <wp:wrapSquare wrapText="bothSides"/>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4514850" cy="3457575"/>
                    </a:xfrm>
                    <a:prstGeom prst="rect">
                      <a:avLst/>
                    </a:prstGeom>
                    <a:noFill/>
                  </pic:spPr>
                </pic:pic>
              </a:graphicData>
            </a:graphic>
            <wp14:sizeRelH relativeFrom="margin">
              <wp14:pctWidth>0</wp14:pctWidth>
            </wp14:sizeRelH>
            <wp14:sizeRelV relativeFrom="margin">
              <wp14:pctHeight>0</wp14:pctHeight>
            </wp14:sizeRelV>
          </wp:anchor>
        </w:drawing>
      </w: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r>
        <w:rPr>
          <w:noProof/>
        </w:rPr>
        <w:drawing>
          <wp:anchor distT="0" distB="0" distL="114300" distR="114300" simplePos="0" relativeHeight="251725824" behindDoc="0" locked="0" layoutInCell="1" allowOverlap="1" wp14:anchorId="7B9A6D76" wp14:editId="6E663B41">
            <wp:simplePos x="0" y="0"/>
            <wp:positionH relativeFrom="column">
              <wp:posOffset>838200</wp:posOffset>
            </wp:positionH>
            <wp:positionV relativeFrom="paragraph">
              <wp:posOffset>144145</wp:posOffset>
            </wp:positionV>
            <wp:extent cx="4514850" cy="3476625"/>
            <wp:effectExtent l="0" t="0" r="0"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srcRect/>
                    <a:stretch>
                      <a:fillRect/>
                    </a:stretch>
                  </pic:blipFill>
                  <pic:spPr bwMode="auto">
                    <a:xfrm>
                      <a:off x="0" y="0"/>
                      <a:ext cx="4514850" cy="3476625"/>
                    </a:xfrm>
                    <a:prstGeom prst="rect">
                      <a:avLst/>
                    </a:prstGeom>
                    <a:noFill/>
                  </pic:spPr>
                </pic:pic>
              </a:graphicData>
            </a:graphic>
            <wp14:sizeRelH relativeFrom="margin">
              <wp14:pctWidth>0</wp14:pctWidth>
            </wp14:sizeRelH>
            <wp14:sizeRelV relativeFrom="margin">
              <wp14:pctHeight>0</wp14:pctHeight>
            </wp14:sizeRelV>
          </wp:anchor>
        </w:drawing>
      </w: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D751B" w:rsidRDefault="003D751B" w:rsidP="00CF107C">
      <w:pPr>
        <w:widowControl w:val="0"/>
        <w:rPr>
          <w:rFonts w:cs="Arial"/>
          <w:szCs w:val="22"/>
        </w:rPr>
      </w:pPr>
    </w:p>
    <w:p w:rsidR="00381FDA" w:rsidRPr="009A55C7" w:rsidRDefault="00101517" w:rsidP="00CF107C">
      <w:pPr>
        <w:widowControl w:val="0"/>
        <w:rPr>
          <w:rFonts w:cs="Arial"/>
          <w:szCs w:val="22"/>
        </w:rPr>
      </w:pPr>
      <w:r>
        <w:rPr>
          <w:rFonts w:cs="Arial"/>
          <w:szCs w:val="22"/>
        </w:rPr>
        <w:t xml:space="preserve">None of the graphs present a </w:t>
      </w:r>
      <w:r w:rsidR="00046E88">
        <w:rPr>
          <w:rFonts w:cs="Arial"/>
          <w:szCs w:val="22"/>
        </w:rPr>
        <w:t>definitive</w:t>
      </w:r>
      <w:r>
        <w:rPr>
          <w:rFonts w:cs="Arial"/>
          <w:szCs w:val="22"/>
        </w:rPr>
        <w:t xml:space="preserve"> picture</w:t>
      </w:r>
      <w:r w:rsidR="00BC32A9">
        <w:rPr>
          <w:rFonts w:cs="Arial"/>
          <w:szCs w:val="22"/>
        </w:rPr>
        <w:t xml:space="preserve"> of the</w:t>
      </w:r>
      <w:r w:rsidR="003D751B">
        <w:rPr>
          <w:rFonts w:cs="Arial"/>
          <w:szCs w:val="22"/>
        </w:rPr>
        <w:t xml:space="preserve"> positive</w:t>
      </w:r>
      <w:r w:rsidR="00BC32A9">
        <w:rPr>
          <w:rFonts w:cs="Arial"/>
          <w:szCs w:val="22"/>
        </w:rPr>
        <w:t xml:space="preserve"> relationship between </w:t>
      </w:r>
      <w:r w:rsidR="00046E88">
        <w:rPr>
          <w:rFonts w:cs="Arial"/>
          <w:szCs w:val="22"/>
        </w:rPr>
        <w:t>occupancy</w:t>
      </w:r>
      <w:r w:rsidR="00BC32A9">
        <w:rPr>
          <w:rFonts w:cs="Arial"/>
          <w:szCs w:val="22"/>
        </w:rPr>
        <w:t xml:space="preserve"> rates and rental rates over time.  However, </w:t>
      </w:r>
      <w:r w:rsidR="003D751B">
        <w:rPr>
          <w:rFonts w:cs="Arial"/>
          <w:szCs w:val="22"/>
        </w:rPr>
        <w:t>the lead appears to be closer to 3 quarters for San Diego and 2 quarters for Atlanta.  In t</w:t>
      </w:r>
      <w:r w:rsidR="00BC32A9">
        <w:rPr>
          <w:rFonts w:cs="Arial"/>
          <w:szCs w:val="22"/>
        </w:rPr>
        <w:t xml:space="preserve">he Atlanta market, shown </w:t>
      </w:r>
      <w:r w:rsidR="003D751B">
        <w:rPr>
          <w:rFonts w:cs="Arial"/>
          <w:szCs w:val="22"/>
        </w:rPr>
        <w:t>above</w:t>
      </w:r>
      <w:r w:rsidR="00BC32A9">
        <w:rPr>
          <w:rFonts w:cs="Arial"/>
          <w:szCs w:val="22"/>
        </w:rPr>
        <w:t xml:space="preserve">, </w:t>
      </w:r>
      <w:r w:rsidR="003D751B">
        <w:rPr>
          <w:rFonts w:cs="Arial"/>
          <w:szCs w:val="22"/>
        </w:rPr>
        <w:t>we observe an</w:t>
      </w:r>
      <w:r w:rsidR="00BC32A9">
        <w:rPr>
          <w:rFonts w:cs="Arial"/>
          <w:szCs w:val="22"/>
        </w:rPr>
        <w:t xml:space="preserve"> increase in rents until the </w:t>
      </w:r>
      <w:r w:rsidR="00046E88">
        <w:rPr>
          <w:rFonts w:cs="Arial"/>
          <w:szCs w:val="22"/>
        </w:rPr>
        <w:t>occupancy</w:t>
      </w:r>
      <w:r w:rsidR="00BC32A9">
        <w:rPr>
          <w:rFonts w:cs="Arial"/>
          <w:szCs w:val="22"/>
        </w:rPr>
        <w:t xml:space="preserve"> rate drops below 85%, at which point rents drop until the vacancy rate increases above 85%, which triggers a steep climb in rents. </w:t>
      </w:r>
      <w:r w:rsidR="00EB13D5">
        <w:rPr>
          <w:rFonts w:cs="Arial"/>
          <w:szCs w:val="22"/>
        </w:rPr>
        <w:t xml:space="preserve"> This would indicate an equilibrium </w:t>
      </w:r>
      <w:r w:rsidR="00EB13D5">
        <w:rPr>
          <w:rFonts w:cs="Arial"/>
          <w:szCs w:val="22"/>
        </w:rPr>
        <w:lastRenderedPageBreak/>
        <w:t xml:space="preserve">vacancy rate of about 15% for the Atlanta Class </w:t>
      </w:r>
      <w:proofErr w:type="gramStart"/>
      <w:r w:rsidR="00EB13D5">
        <w:rPr>
          <w:rFonts w:cs="Arial"/>
          <w:szCs w:val="22"/>
        </w:rPr>
        <w:t>A</w:t>
      </w:r>
      <w:proofErr w:type="gramEnd"/>
      <w:r w:rsidR="00EB13D5">
        <w:rPr>
          <w:rFonts w:cs="Arial"/>
          <w:szCs w:val="22"/>
        </w:rPr>
        <w:t xml:space="preserve"> office market. </w:t>
      </w:r>
      <w:r w:rsidR="00BC32A9">
        <w:rPr>
          <w:rFonts w:cs="Arial"/>
          <w:szCs w:val="22"/>
        </w:rPr>
        <w:t xml:space="preserve"> A similar interpretation of the San Diego market can be made, but with the point of inflection being about </w:t>
      </w:r>
      <w:r w:rsidR="00EB13D5">
        <w:rPr>
          <w:rFonts w:cs="Arial"/>
          <w:szCs w:val="22"/>
        </w:rPr>
        <w:t>83</w:t>
      </w:r>
      <w:r w:rsidR="00BC32A9">
        <w:rPr>
          <w:rFonts w:cs="Arial"/>
          <w:szCs w:val="22"/>
        </w:rPr>
        <w:t>%</w:t>
      </w:r>
      <w:r w:rsidR="00046E88">
        <w:rPr>
          <w:rFonts w:cs="Arial"/>
          <w:szCs w:val="22"/>
        </w:rPr>
        <w:t xml:space="preserve"> occupancy</w:t>
      </w:r>
      <w:r w:rsidR="00EB13D5">
        <w:rPr>
          <w:rFonts w:cs="Arial"/>
          <w:szCs w:val="22"/>
        </w:rPr>
        <w:t>, indicating an equilibrium vacancy rate of about 17% for the San Diego Class A office market.</w:t>
      </w:r>
    </w:p>
    <w:p w:rsidR="00046E88" w:rsidRDefault="00046E88" w:rsidP="00314564">
      <w:pPr>
        <w:rPr>
          <w:b/>
        </w:rPr>
      </w:pPr>
    </w:p>
    <w:p w:rsidR="00F23F9D" w:rsidRDefault="00BC32A9" w:rsidP="00314564">
      <w:pPr>
        <w:rPr>
          <w:b/>
        </w:rPr>
      </w:pPr>
      <w:r>
        <w:rPr>
          <w:b/>
        </w:rPr>
        <w:t>Summary of</w:t>
      </w:r>
      <w:r w:rsidR="00C47094">
        <w:rPr>
          <w:b/>
        </w:rPr>
        <w:t xml:space="preserve"> </w:t>
      </w:r>
      <w:r w:rsidR="00800889">
        <w:rPr>
          <w:b/>
        </w:rPr>
        <w:t>Derivation</w:t>
      </w:r>
      <w:r w:rsidR="004C2E38">
        <w:rPr>
          <w:b/>
        </w:rPr>
        <w:t xml:space="preserve"> Re</w:t>
      </w:r>
      <w:r w:rsidR="00C47094">
        <w:rPr>
          <w:b/>
        </w:rPr>
        <w:t>sults</w:t>
      </w:r>
    </w:p>
    <w:p w:rsidR="00BB543D" w:rsidRDefault="00BB543D" w:rsidP="00314564">
      <w:pPr>
        <w:rPr>
          <w:b/>
        </w:rPr>
      </w:pPr>
    </w:p>
    <w:p w:rsidR="002750C9" w:rsidRDefault="0007335C" w:rsidP="00D74736">
      <w:r>
        <w:rPr>
          <w:noProof/>
        </w:rPr>
        <w:pict>
          <v:shape id="_x0000_s1094" type="#_x0000_t75" style="position:absolute;left:0;text-align:left;margin-left:-16.5pt;margin-top:27.35pt;width:7in;height:82.85pt;z-index:251737088">
            <v:imagedata r:id="rId19" o:title=""/>
            <w10:wrap type="square"/>
          </v:shape>
          <o:OLEObject Type="Embed" ProgID="Excel.SheetBinaryMacroEnabled.12" ShapeID="_x0000_s1094" DrawAspect="Content" ObjectID="_1458473539" r:id="rId20"/>
        </w:pict>
      </w:r>
      <w:r w:rsidR="002750C9">
        <w:t>The resu</w:t>
      </w:r>
      <w:r w:rsidR="00046E88">
        <w:t>lts of our analysis</w:t>
      </w:r>
      <w:r w:rsidR="002750C9">
        <w:t xml:space="preserve"> are su</w:t>
      </w:r>
      <w:r w:rsidR="003D751B">
        <w:t>mmarized in the following table, Exhibit 6</w:t>
      </w:r>
    </w:p>
    <w:p w:rsidR="002750C9" w:rsidRDefault="002750C9" w:rsidP="00D74736"/>
    <w:p w:rsidR="003D751B" w:rsidRDefault="003D751B" w:rsidP="004D57B4"/>
    <w:p w:rsidR="004D57B4" w:rsidRDefault="002750C9" w:rsidP="004D57B4">
      <w:r>
        <w:t xml:space="preserve">The </w:t>
      </w:r>
      <w:r w:rsidR="00E63991">
        <w:t>three</w:t>
      </w:r>
      <w:r w:rsidR="0007335C">
        <w:t xml:space="preserve"> equilibrium rate indicators</w:t>
      </w:r>
      <w:r w:rsidR="00046E88">
        <w:t xml:space="preserve"> </w:t>
      </w:r>
      <w:r>
        <w:t>for each city are very similar across the board.  On a</w:t>
      </w:r>
      <w:r w:rsidR="00046E88">
        <w:t>n individual</w:t>
      </w:r>
      <w:r>
        <w:t xml:space="preserve"> city basis, each test appears to confirm and reinforce the other</w:t>
      </w:r>
      <w:r w:rsidR="00046E88">
        <w:t>s.</w:t>
      </w:r>
      <w:r>
        <w:t xml:space="preserve">   The mean vacancy rate for each city is very close to the regression results, both using nominal rent and real rent.  However, the correlation is greatest with the nominal </w:t>
      </w:r>
      <w:r w:rsidR="0007335C">
        <w:t xml:space="preserve">rental </w:t>
      </w:r>
      <w:r>
        <w:t>rate.</w:t>
      </w:r>
      <w:r>
        <w:rPr>
          <w:rStyle w:val="FootnoteReference"/>
        </w:rPr>
        <w:footnoteReference w:id="16"/>
      </w:r>
      <w:r>
        <w:t xml:space="preserve"> </w:t>
      </w:r>
      <w:r w:rsidR="004D57B4">
        <w:t xml:space="preserve"> The graphs generally support the mean vacancy rate as a </w:t>
      </w:r>
      <w:r w:rsidR="007D0BBE">
        <w:t xml:space="preserve">visual confirmation </w:t>
      </w:r>
      <w:r w:rsidR="004D57B4">
        <w:t xml:space="preserve">of a market’s equilibrium vacancy rate.  </w:t>
      </w:r>
      <w:proofErr w:type="spellStart"/>
      <w:r w:rsidR="004D57B4">
        <w:t>Geltner</w:t>
      </w:r>
      <w:proofErr w:type="spellEnd"/>
      <w:r w:rsidR="004D57B4">
        <w:t>, Miller, et al (2007) concluded that the regression process may not produce reliable results</w:t>
      </w:r>
      <w:r w:rsidR="00046E88">
        <w:t xml:space="preserve"> if</w:t>
      </w:r>
      <w:r w:rsidR="004D57B4">
        <w:t xml:space="preserve"> net effective rent is used, stating that “real [net effective] rents reflect the actual physical balance between supply and demand in the space market.”</w:t>
      </w:r>
      <w:r w:rsidR="004D57B4">
        <w:rPr>
          <w:rStyle w:val="FootnoteReference"/>
        </w:rPr>
        <w:footnoteReference w:id="17"/>
      </w:r>
      <w:r w:rsidR="004D57B4">
        <w:t xml:space="preserve"> By using the mean vacancy rate, this deficiency is eliminated.</w:t>
      </w:r>
    </w:p>
    <w:p w:rsidR="00DA4A07" w:rsidRDefault="00DA4A07" w:rsidP="004D57B4">
      <w:r>
        <w:t xml:space="preserve"> </w:t>
      </w:r>
    </w:p>
    <w:p w:rsidR="00F46451" w:rsidRPr="007F53E6" w:rsidRDefault="00C21068" w:rsidP="00897146">
      <w:pPr>
        <w:widowControl w:val="0"/>
        <w:autoSpaceDE w:val="0"/>
        <w:autoSpaceDN w:val="0"/>
        <w:adjustRightInd w:val="0"/>
        <w:spacing w:before="4"/>
        <w:ind w:right="130"/>
      </w:pPr>
      <w:r>
        <w:t>A</w:t>
      </w:r>
      <w:r w:rsidR="00A13A2C">
        <w:t>n a</w:t>
      </w:r>
      <w:r>
        <w:t>dditional issue with the regression approach may be serial correlation</w:t>
      </w:r>
      <w:r w:rsidR="00A13A2C">
        <w:t>.</w:t>
      </w:r>
      <w:r>
        <w:t xml:space="preserve"> Serial correlation occurs in time-series studies when the errors associated with a given time period carry over into future time periods.  This is most likely present in this test</w:t>
      </w:r>
      <w:r w:rsidR="00C41817">
        <w:t xml:space="preserve"> (</w:t>
      </w:r>
      <w:r>
        <w:t xml:space="preserve">as well as </w:t>
      </w:r>
      <w:r w:rsidR="00F46451">
        <w:t xml:space="preserve">in </w:t>
      </w:r>
      <w:r>
        <w:t xml:space="preserve">all the </w:t>
      </w:r>
      <w:r w:rsidR="00C41817">
        <w:t xml:space="preserve">previous </w:t>
      </w:r>
      <w:r>
        <w:t>scholarly work</w:t>
      </w:r>
      <w:r w:rsidR="00FA1E80">
        <w:t>)</w:t>
      </w:r>
      <w:r>
        <w:t xml:space="preserve">.  </w:t>
      </w:r>
    </w:p>
    <w:p w:rsidR="00C41817" w:rsidRDefault="00C41817" w:rsidP="00C21068"/>
    <w:p w:rsidR="007F53E6" w:rsidRPr="007F53E6" w:rsidRDefault="00897146" w:rsidP="00A13A2C">
      <w:pPr>
        <w:autoSpaceDE w:val="0"/>
        <w:autoSpaceDN w:val="0"/>
        <w:adjustRightInd w:val="0"/>
        <w:spacing w:before="4"/>
        <w:ind w:right="132"/>
      </w:pPr>
      <w:r>
        <w:lastRenderedPageBreak/>
        <w:t>We conclude</w:t>
      </w:r>
      <w:r w:rsidR="00821CC8">
        <w:t xml:space="preserve"> that the </w:t>
      </w:r>
      <w:r w:rsidR="0007335C">
        <w:t xml:space="preserve">long run </w:t>
      </w:r>
      <w:r w:rsidR="00821CC8">
        <w:t xml:space="preserve">average </w:t>
      </w:r>
      <w:r w:rsidR="00702CAB">
        <w:t xml:space="preserve">(or </w:t>
      </w:r>
      <w:r w:rsidR="00702CAB">
        <w:rPr>
          <w:i/>
        </w:rPr>
        <w:t>natural</w:t>
      </w:r>
      <w:r w:rsidR="00702CAB" w:rsidRPr="00702CAB">
        <w:t xml:space="preserve">) </w:t>
      </w:r>
      <w:r w:rsidR="00821CC8">
        <w:t>vacancy rate can be a reliable indicator of the equilibrium rate</w:t>
      </w:r>
      <w:r>
        <w:t xml:space="preserve"> for any given market, as long as </w:t>
      </w:r>
      <w:r w:rsidR="00821CC8">
        <w:t>adequate fluctuation over an extended period</w:t>
      </w:r>
      <w:r>
        <w:t xml:space="preserve"> has been experienced by the market</w:t>
      </w:r>
      <w:r w:rsidR="00821CC8">
        <w:t>.</w:t>
      </w:r>
      <w:r w:rsidR="00A13A2C">
        <w:t xml:space="preserve"> </w:t>
      </w:r>
      <w:r>
        <w:t xml:space="preserve"> </w:t>
      </w:r>
    </w:p>
    <w:p w:rsidR="007F53E6" w:rsidRDefault="007F53E6" w:rsidP="00314564">
      <w:pPr>
        <w:rPr>
          <w:b/>
        </w:rPr>
      </w:pPr>
    </w:p>
    <w:p w:rsidR="0015048D" w:rsidRDefault="00AE7EED" w:rsidP="00314564">
      <w:pPr>
        <w:rPr>
          <w:b/>
        </w:rPr>
      </w:pPr>
      <w:r>
        <w:rPr>
          <w:b/>
        </w:rPr>
        <w:t xml:space="preserve">The </w:t>
      </w:r>
      <w:r w:rsidR="00897146">
        <w:rPr>
          <w:b/>
        </w:rPr>
        <w:t>Utility</w:t>
      </w:r>
      <w:r w:rsidR="0015048D">
        <w:rPr>
          <w:b/>
        </w:rPr>
        <w:t xml:space="preserve"> of </w:t>
      </w:r>
      <w:r w:rsidR="00897146">
        <w:rPr>
          <w:b/>
        </w:rPr>
        <w:t xml:space="preserve">the </w:t>
      </w:r>
      <w:r w:rsidR="003212EE">
        <w:rPr>
          <w:b/>
        </w:rPr>
        <w:t>Equilibrium</w:t>
      </w:r>
      <w:r w:rsidR="0015048D">
        <w:rPr>
          <w:b/>
        </w:rPr>
        <w:t xml:space="preserve"> Vacancy Rate</w:t>
      </w:r>
    </w:p>
    <w:p w:rsidR="0015048D" w:rsidRDefault="0015048D" w:rsidP="00314564">
      <w:pPr>
        <w:rPr>
          <w:b/>
        </w:rPr>
      </w:pPr>
    </w:p>
    <w:p w:rsidR="00381FDA" w:rsidRDefault="0007335C" w:rsidP="00381FDA">
      <w:pPr>
        <w:rPr>
          <w:rFonts w:cs="Arial"/>
          <w:szCs w:val="22"/>
        </w:rPr>
      </w:pPr>
      <w:r>
        <w:rPr>
          <w:rFonts w:cs="Arial"/>
          <w:szCs w:val="22"/>
        </w:rPr>
        <w:t xml:space="preserve">Although there has been </w:t>
      </w:r>
      <w:r w:rsidR="00381FDA" w:rsidRPr="009A55C7">
        <w:rPr>
          <w:rFonts w:cs="Arial"/>
          <w:szCs w:val="22"/>
        </w:rPr>
        <w:t xml:space="preserve">extensive research on measuring </w:t>
      </w:r>
      <w:r w:rsidR="003212EE">
        <w:rPr>
          <w:rFonts w:cs="Arial"/>
          <w:szCs w:val="22"/>
        </w:rPr>
        <w:t>equilibrium</w:t>
      </w:r>
      <w:r w:rsidR="00381FDA" w:rsidRPr="009A55C7">
        <w:rPr>
          <w:rFonts w:cs="Arial"/>
          <w:szCs w:val="22"/>
        </w:rPr>
        <w:t xml:space="preserve"> vacancy, very little guidance has been provided on how to </w:t>
      </w:r>
      <w:r w:rsidR="00897146">
        <w:rPr>
          <w:rFonts w:cs="Arial"/>
          <w:szCs w:val="22"/>
        </w:rPr>
        <w:t>use</w:t>
      </w:r>
      <w:r w:rsidR="00381FDA" w:rsidRPr="009A55C7">
        <w:rPr>
          <w:rFonts w:cs="Arial"/>
          <w:szCs w:val="22"/>
        </w:rPr>
        <w:t xml:space="preserve"> it. </w:t>
      </w:r>
      <w:r>
        <w:rPr>
          <w:rFonts w:cs="Arial"/>
          <w:szCs w:val="22"/>
        </w:rPr>
        <w:t xml:space="preserve"> What is implied throughout prior research </w:t>
      </w:r>
      <w:r w:rsidR="00381FDA" w:rsidRPr="009A55C7">
        <w:rPr>
          <w:rFonts w:cs="Arial"/>
          <w:szCs w:val="22"/>
        </w:rPr>
        <w:t xml:space="preserve">work generally, however, is that </w:t>
      </w:r>
      <w:r w:rsidR="003212EE">
        <w:rPr>
          <w:rFonts w:cs="Arial"/>
          <w:szCs w:val="22"/>
        </w:rPr>
        <w:t>equilibrium</w:t>
      </w:r>
      <w:r w:rsidR="00381FDA" w:rsidRPr="009A55C7">
        <w:rPr>
          <w:rFonts w:cs="Arial"/>
          <w:szCs w:val="22"/>
        </w:rPr>
        <w:t xml:space="preserve"> vacancy, since it is the portion of supply that is unoccupied in a balanced market</w:t>
      </w:r>
      <w:r w:rsidR="002B4318">
        <w:rPr>
          <w:rFonts w:cs="Arial"/>
          <w:szCs w:val="22"/>
        </w:rPr>
        <w:t xml:space="preserve">, </w:t>
      </w:r>
      <w:r w:rsidR="002B4318" w:rsidRPr="009A55C7">
        <w:rPr>
          <w:rFonts w:cs="Arial"/>
          <w:szCs w:val="22"/>
        </w:rPr>
        <w:t>is a supply side consideration</w:t>
      </w:r>
      <w:r w:rsidR="00381FDA" w:rsidRPr="009A55C7">
        <w:rPr>
          <w:rFonts w:cs="Arial"/>
          <w:szCs w:val="22"/>
        </w:rPr>
        <w:t>.</w:t>
      </w:r>
    </w:p>
    <w:p w:rsidR="00897146" w:rsidRDefault="00897146" w:rsidP="00381FDA">
      <w:pPr>
        <w:rPr>
          <w:rFonts w:cs="Arial"/>
          <w:szCs w:val="22"/>
        </w:rPr>
      </w:pPr>
    </w:p>
    <w:p w:rsidR="00897146" w:rsidRDefault="003212EE">
      <w:pPr>
        <w:rPr>
          <w:rFonts w:cs="Arial"/>
          <w:szCs w:val="22"/>
        </w:rPr>
      </w:pPr>
      <w:r>
        <w:rPr>
          <w:rFonts w:cs="Arial"/>
          <w:szCs w:val="22"/>
        </w:rPr>
        <w:t>Equilibrium</w:t>
      </w:r>
      <w:r w:rsidR="00381FDA" w:rsidRPr="009A55C7">
        <w:rPr>
          <w:rFonts w:cs="Arial"/>
          <w:szCs w:val="22"/>
        </w:rPr>
        <w:t xml:space="preserve"> vacancy is </w:t>
      </w:r>
      <w:r w:rsidR="00897146">
        <w:rPr>
          <w:rFonts w:cs="Arial"/>
          <w:szCs w:val="22"/>
        </w:rPr>
        <w:t>market</w:t>
      </w:r>
      <w:r w:rsidR="00381FDA" w:rsidRPr="009A55C7">
        <w:rPr>
          <w:rFonts w:cs="Arial"/>
          <w:szCs w:val="22"/>
        </w:rPr>
        <w:t xml:space="preserve"> specific </w:t>
      </w:r>
      <w:r w:rsidR="00897146">
        <w:rPr>
          <w:rFonts w:cs="Arial"/>
          <w:szCs w:val="22"/>
        </w:rPr>
        <w:t>and is extracted from a</w:t>
      </w:r>
      <w:r w:rsidR="00381FDA" w:rsidRPr="009A55C7">
        <w:rPr>
          <w:rFonts w:cs="Arial"/>
          <w:szCs w:val="22"/>
        </w:rPr>
        <w:t xml:space="preserve"> market based on </w:t>
      </w:r>
      <w:r w:rsidR="00897146">
        <w:rPr>
          <w:rFonts w:cs="Arial"/>
          <w:szCs w:val="22"/>
        </w:rPr>
        <w:t xml:space="preserve">that market’s </w:t>
      </w:r>
      <w:r w:rsidR="00381FDA" w:rsidRPr="009A55C7">
        <w:rPr>
          <w:rFonts w:cs="Arial"/>
          <w:szCs w:val="22"/>
        </w:rPr>
        <w:t>existing supply</w:t>
      </w:r>
      <w:r w:rsidR="0007335C">
        <w:rPr>
          <w:rFonts w:cs="Arial"/>
          <w:szCs w:val="22"/>
        </w:rPr>
        <w:t xml:space="preserve"> and the ability of each market to respond to changes in demand</w:t>
      </w:r>
      <w:r w:rsidR="00381FDA" w:rsidRPr="009A55C7">
        <w:rPr>
          <w:rFonts w:cs="Arial"/>
          <w:szCs w:val="22"/>
        </w:rPr>
        <w:t>.</w:t>
      </w:r>
      <w:r w:rsidR="0007335C">
        <w:rPr>
          <w:rFonts w:cs="Arial"/>
          <w:szCs w:val="22"/>
        </w:rPr>
        <w:t xml:space="preserve">  We expect that markets with more supply constraints will also reveal greater volatility in rents over the course of a cycle and also lower correlations between rents and vacancies since the time period required to add new supply can be so unpredictable.</w:t>
      </w:r>
      <w:r w:rsidR="00381FDA" w:rsidRPr="009A55C7">
        <w:rPr>
          <w:rFonts w:cs="Arial"/>
          <w:szCs w:val="22"/>
        </w:rPr>
        <w:t xml:space="preserve">  </w:t>
      </w:r>
    </w:p>
    <w:p w:rsidR="0007335C" w:rsidRDefault="0007335C">
      <w:pPr>
        <w:rPr>
          <w:b/>
        </w:rPr>
      </w:pPr>
    </w:p>
    <w:p w:rsidR="00D2719F" w:rsidRDefault="00F1320E" w:rsidP="00314564">
      <w:r>
        <w:rPr>
          <w:noProof/>
        </w:rPr>
        <mc:AlternateContent>
          <mc:Choice Requires="wpg">
            <w:drawing>
              <wp:anchor distT="0" distB="0" distL="114300" distR="114300" simplePos="0" relativeHeight="251719680" behindDoc="0" locked="0" layoutInCell="1" allowOverlap="1">
                <wp:simplePos x="0" y="0"/>
                <wp:positionH relativeFrom="column">
                  <wp:posOffset>-511810</wp:posOffset>
                </wp:positionH>
                <wp:positionV relativeFrom="paragraph">
                  <wp:posOffset>814070</wp:posOffset>
                </wp:positionV>
                <wp:extent cx="6675120" cy="1957070"/>
                <wp:effectExtent l="0" t="0" r="11430" b="24130"/>
                <wp:wrapSquare wrapText="bothSides"/>
                <wp:docPr id="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957070"/>
                          <a:chOff x="840" y="3466"/>
                          <a:chExt cx="10507" cy="3081"/>
                        </a:xfrm>
                      </wpg:grpSpPr>
                      <wps:wsp>
                        <wps:cNvPr id="5" name="Text Box 49"/>
                        <wps:cNvSpPr txBox="1">
                          <a:spLocks noChangeArrowheads="1"/>
                        </wps:cNvSpPr>
                        <wps:spPr bwMode="auto">
                          <a:xfrm>
                            <a:off x="840" y="3466"/>
                            <a:ext cx="5295" cy="3081"/>
                          </a:xfrm>
                          <a:prstGeom prst="rect">
                            <a:avLst/>
                          </a:prstGeom>
                          <a:solidFill>
                            <a:srgbClr val="FFFFFF"/>
                          </a:solidFill>
                          <a:ln w="9525">
                            <a:solidFill>
                              <a:srgbClr val="000000"/>
                            </a:solidFill>
                            <a:miter lim="800000"/>
                            <a:headEnd/>
                            <a:tailEnd/>
                          </a:ln>
                        </wps:spPr>
                        <wps:txbx>
                          <w:txbxContent>
                            <w:p w:rsidR="00897146" w:rsidRPr="00C4645A" w:rsidRDefault="00897146" w:rsidP="008D768C">
                              <w:pPr>
                                <w:spacing w:line="240" w:lineRule="auto"/>
                                <w:rPr>
                                  <w:b/>
                                  <w:sz w:val="16"/>
                                  <w:szCs w:val="16"/>
                                </w:rPr>
                              </w:pPr>
                              <w:r w:rsidRPr="00C4645A">
                                <w:rPr>
                                  <w:b/>
                                  <w:sz w:val="16"/>
                                  <w:szCs w:val="16"/>
                                </w:rPr>
                                <w:t xml:space="preserve">A. Marginal Demand Analysis </w:t>
                              </w:r>
                            </w:p>
                            <w:p w:rsidR="00897146" w:rsidRPr="00591852"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Demand</w:t>
                              </w:r>
                              <w:r w:rsidRPr="00591852">
                                <w:rPr>
                                  <w:sz w:val="16"/>
                                  <w:szCs w:val="16"/>
                                </w:rPr>
                                <w:tab/>
                              </w:r>
                            </w:p>
                            <w:p w:rsidR="00897146" w:rsidRPr="00591852" w:rsidRDefault="00897146" w:rsidP="008D768C">
                              <w:pPr>
                                <w:spacing w:line="240" w:lineRule="auto"/>
                                <w:rPr>
                                  <w:sz w:val="16"/>
                                  <w:szCs w:val="16"/>
                                </w:rPr>
                              </w:pPr>
                              <w:r w:rsidRPr="00591852">
                                <w:rPr>
                                  <w:sz w:val="16"/>
                                  <w:szCs w:val="16"/>
                                </w:rPr>
                                <w:tab/>
                                <w:t xml:space="preserve">Current Employed Workforce </w:t>
                              </w:r>
                              <w:r w:rsidRPr="00591852">
                                <w:rPr>
                                  <w:sz w:val="16"/>
                                  <w:szCs w:val="16"/>
                                </w:rPr>
                                <w:tab/>
                                <w:t xml:space="preserve">         </w:t>
                              </w:r>
                              <w:r>
                                <w:rPr>
                                  <w:sz w:val="16"/>
                                  <w:szCs w:val="16"/>
                                </w:rPr>
                                <w:t xml:space="preserve">   </w:t>
                              </w:r>
                              <w:r w:rsidRPr="00591852">
                                <w:rPr>
                                  <w:sz w:val="16"/>
                                  <w:szCs w:val="16"/>
                                </w:rPr>
                                <w:t xml:space="preserve"> </w:t>
                              </w:r>
                              <w:r>
                                <w:rPr>
                                  <w:sz w:val="16"/>
                                  <w:szCs w:val="16"/>
                                </w:rPr>
                                <w:t xml:space="preserve">   </w:t>
                              </w:r>
                              <w:r w:rsidRPr="00591852">
                                <w:rPr>
                                  <w:sz w:val="16"/>
                                  <w:szCs w:val="16"/>
                                </w:rPr>
                                <w:t xml:space="preserve"> 20,000</w:t>
                              </w:r>
                            </w:p>
                            <w:p w:rsidR="00897146" w:rsidRPr="00591852" w:rsidRDefault="00897146" w:rsidP="008D768C">
                              <w:pPr>
                                <w:spacing w:line="240" w:lineRule="auto"/>
                                <w:rPr>
                                  <w:sz w:val="16"/>
                                  <w:szCs w:val="16"/>
                                </w:rPr>
                              </w:pPr>
                              <w:r w:rsidRPr="00591852">
                                <w:rPr>
                                  <w:sz w:val="16"/>
                                  <w:szCs w:val="16"/>
                                </w:rPr>
                                <w:tab/>
                                <w:t xml:space="preserve">% of above in Class A Buildings          </w:t>
                              </w:r>
                              <w:r>
                                <w:rPr>
                                  <w:sz w:val="16"/>
                                  <w:szCs w:val="16"/>
                                </w:rPr>
                                <w:t xml:space="preserve">    </w:t>
                              </w:r>
                              <w:r>
                                <w:rPr>
                                  <w:sz w:val="16"/>
                                  <w:szCs w:val="16"/>
                                  <w:u w:val="single"/>
                                </w:rPr>
                                <w:t xml:space="preserve">  </w:t>
                              </w:r>
                              <w:r w:rsidRPr="00591852">
                                <w:rPr>
                                  <w:sz w:val="16"/>
                                  <w:szCs w:val="16"/>
                                  <w:u w:val="single"/>
                                </w:rPr>
                                <w:t xml:space="preserve">   35%</w:t>
                              </w:r>
                            </w:p>
                            <w:p w:rsidR="00897146" w:rsidRPr="00591852" w:rsidRDefault="00897146" w:rsidP="008D768C">
                              <w:pPr>
                                <w:spacing w:line="240" w:lineRule="auto"/>
                                <w:rPr>
                                  <w:sz w:val="16"/>
                                  <w:szCs w:val="16"/>
                                </w:rPr>
                              </w:pPr>
                              <w:r>
                                <w:rPr>
                                  <w:sz w:val="16"/>
                                  <w:szCs w:val="16"/>
                                </w:rPr>
                                <w:tab/>
                              </w:r>
                              <w:r>
                                <w:rPr>
                                  <w:sz w:val="16"/>
                                  <w:szCs w:val="16"/>
                                </w:rPr>
                                <w:tab/>
                              </w:r>
                              <w:r>
                                <w:rPr>
                                  <w:sz w:val="16"/>
                                  <w:szCs w:val="16"/>
                                </w:rPr>
                                <w:tab/>
                              </w:r>
                              <w:r>
                                <w:rPr>
                                  <w:sz w:val="16"/>
                                  <w:szCs w:val="16"/>
                                </w:rPr>
                                <w:tab/>
                                <w:t xml:space="preserve">                 </w:t>
                              </w:r>
                              <w:r w:rsidRPr="00591852">
                                <w:rPr>
                                  <w:sz w:val="16"/>
                                  <w:szCs w:val="16"/>
                                </w:rPr>
                                <w:t xml:space="preserve">  7,000</w:t>
                              </w:r>
                            </w:p>
                            <w:p w:rsidR="00897146" w:rsidRPr="00591852" w:rsidRDefault="00897146" w:rsidP="008D768C">
                              <w:pPr>
                                <w:spacing w:line="240" w:lineRule="auto"/>
                                <w:rPr>
                                  <w:sz w:val="16"/>
                                  <w:szCs w:val="16"/>
                                  <w:u w:val="single"/>
                                </w:rPr>
                              </w:pPr>
                              <w:r w:rsidRPr="00591852">
                                <w:rPr>
                                  <w:sz w:val="16"/>
                                  <w:szCs w:val="16"/>
                                </w:rPr>
                                <w:tab/>
                                <w:t>Average sf per worker</w:t>
                              </w:r>
                              <w:r w:rsidRPr="00591852">
                                <w:rPr>
                                  <w:sz w:val="16"/>
                                  <w:szCs w:val="16"/>
                                </w:rPr>
                                <w:tab/>
                                <w:t xml:space="preserve">         </w:t>
                              </w:r>
                              <w:r>
                                <w:rPr>
                                  <w:sz w:val="16"/>
                                  <w:szCs w:val="16"/>
                                </w:rPr>
                                <w:t xml:space="preserve">      </w:t>
                              </w:r>
                              <w:r w:rsidRPr="00591852">
                                <w:rPr>
                                  <w:sz w:val="16"/>
                                  <w:szCs w:val="16"/>
                                  <w:u w:val="single"/>
                                </w:rPr>
                                <w:t xml:space="preserve">       250</w:t>
                              </w:r>
                            </w:p>
                            <w:p w:rsidR="00897146" w:rsidRPr="00591852" w:rsidRDefault="00897146" w:rsidP="008D768C">
                              <w:pPr>
                                <w:spacing w:line="240" w:lineRule="auto"/>
                                <w:ind w:firstLine="720"/>
                                <w:rPr>
                                  <w:sz w:val="16"/>
                                  <w:szCs w:val="16"/>
                                </w:rPr>
                              </w:pPr>
                              <w:r w:rsidRPr="00591852">
                                <w:rPr>
                                  <w:sz w:val="16"/>
                                  <w:szCs w:val="16"/>
                                </w:rPr>
                                <w:t>Demand for Class A Space (sf)</w:t>
                              </w:r>
                              <w:r w:rsidRPr="00591852">
                                <w:rPr>
                                  <w:sz w:val="16"/>
                                  <w:szCs w:val="16"/>
                                </w:rPr>
                                <w:tab/>
                                <w:t xml:space="preserve">     </w:t>
                              </w:r>
                              <w:r>
                                <w:rPr>
                                  <w:sz w:val="16"/>
                                  <w:szCs w:val="16"/>
                                </w:rPr>
                                <w:t xml:space="preserve">                           </w:t>
                              </w:r>
                              <w:r w:rsidRPr="00591852">
                                <w:rPr>
                                  <w:sz w:val="16"/>
                                  <w:szCs w:val="16"/>
                                </w:rPr>
                                <w:t xml:space="preserve"> 1,750,000</w:t>
                              </w:r>
                            </w:p>
                            <w:p w:rsidR="00897146"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Supply</w:t>
                              </w:r>
                            </w:p>
                            <w:p w:rsidR="00897146" w:rsidRPr="00591852" w:rsidRDefault="00897146" w:rsidP="008D768C">
                              <w:pPr>
                                <w:spacing w:line="240" w:lineRule="auto"/>
                                <w:rPr>
                                  <w:sz w:val="16"/>
                                  <w:szCs w:val="16"/>
                                </w:rPr>
                              </w:pPr>
                              <w:r w:rsidRPr="00591852">
                                <w:rPr>
                                  <w:sz w:val="16"/>
                                  <w:szCs w:val="16"/>
                                </w:rPr>
                                <w:tab/>
                                <w:t>Current Existing Class A Space (sf)   2,000,000</w:t>
                              </w:r>
                            </w:p>
                            <w:p w:rsidR="00897146" w:rsidRPr="00591852" w:rsidRDefault="00897146" w:rsidP="008D768C">
                              <w:pPr>
                                <w:spacing w:line="240" w:lineRule="auto"/>
                                <w:rPr>
                                  <w:sz w:val="16"/>
                                  <w:szCs w:val="16"/>
                                  <w:u w:val="single"/>
                                </w:rPr>
                              </w:pPr>
                              <w:r w:rsidRPr="00591852">
                                <w:rPr>
                                  <w:sz w:val="16"/>
                                  <w:szCs w:val="16"/>
                                </w:rPr>
                                <w:tab/>
                                <w:t xml:space="preserve">Less </w:t>
                              </w:r>
                              <w:r>
                                <w:rPr>
                                  <w:sz w:val="16"/>
                                  <w:szCs w:val="16"/>
                                </w:rPr>
                                <w:t>Equilibrium</w:t>
                              </w:r>
                              <w:r w:rsidRPr="00591852">
                                <w:rPr>
                                  <w:sz w:val="16"/>
                                  <w:szCs w:val="16"/>
                                </w:rPr>
                                <w:t xml:space="preserve"> </w:t>
                              </w:r>
                              <w:proofErr w:type="spellStart"/>
                              <w:r w:rsidRPr="00591852">
                                <w:rPr>
                                  <w:sz w:val="16"/>
                                  <w:szCs w:val="16"/>
                                </w:rPr>
                                <w:t>Vac</w:t>
                              </w:r>
                              <w:proofErr w:type="spellEnd"/>
                              <w:r w:rsidRPr="00591852">
                                <w:rPr>
                                  <w:sz w:val="16"/>
                                  <w:szCs w:val="16"/>
                                </w:rPr>
                                <w:t xml:space="preserve"> @ 10%</w:t>
                              </w:r>
                              <w:r w:rsidRPr="00591852">
                                <w:rPr>
                                  <w:sz w:val="16"/>
                                  <w:szCs w:val="16"/>
                                </w:rPr>
                                <w:tab/>
                                <w:t xml:space="preserve">        </w:t>
                              </w:r>
                              <w:r>
                                <w:rPr>
                                  <w:sz w:val="16"/>
                                  <w:szCs w:val="16"/>
                                </w:rPr>
                                <w:t xml:space="preserve">  </w:t>
                              </w:r>
                              <w:r w:rsidRPr="00591852">
                                <w:rPr>
                                  <w:sz w:val="16"/>
                                  <w:szCs w:val="16"/>
                                </w:rPr>
                                <w:t xml:space="preserve"> </w:t>
                              </w:r>
                              <w:r w:rsidRPr="00591852">
                                <w:rPr>
                                  <w:sz w:val="16"/>
                                  <w:szCs w:val="16"/>
                                  <w:u w:val="single"/>
                                </w:rPr>
                                <w:t xml:space="preserve"> </w:t>
                              </w:r>
                              <w:r>
                                <w:rPr>
                                  <w:sz w:val="16"/>
                                  <w:szCs w:val="16"/>
                                  <w:u w:val="single"/>
                                </w:rPr>
                                <w:t xml:space="preserve">   </w:t>
                              </w:r>
                              <w:r w:rsidRPr="00591852">
                                <w:rPr>
                                  <w:sz w:val="16"/>
                                  <w:szCs w:val="16"/>
                                  <w:u w:val="single"/>
                                </w:rPr>
                                <w:t>200,000</w:t>
                              </w:r>
                            </w:p>
                            <w:p w:rsidR="00897146" w:rsidRPr="00591852" w:rsidRDefault="00897146" w:rsidP="008D768C">
                              <w:pPr>
                                <w:spacing w:line="240" w:lineRule="auto"/>
                                <w:rPr>
                                  <w:sz w:val="16"/>
                                  <w:szCs w:val="16"/>
                                  <w:u w:val="single"/>
                                </w:rPr>
                              </w:pPr>
                              <w:r w:rsidRPr="00591852">
                                <w:rPr>
                                  <w:sz w:val="16"/>
                                  <w:szCs w:val="16"/>
                                </w:rPr>
                                <w:tab/>
                                <w:t xml:space="preserve">Supply net of </w:t>
                              </w:r>
                              <w:r>
                                <w:rPr>
                                  <w:sz w:val="16"/>
                                  <w:szCs w:val="16"/>
                                </w:rPr>
                                <w:t>Equilibrium</w:t>
                              </w:r>
                              <w:r w:rsidRPr="00591852">
                                <w:rPr>
                                  <w:sz w:val="16"/>
                                  <w:szCs w:val="16"/>
                                </w:rPr>
                                <w:t xml:space="preserve"> Vac. (sf)</w:t>
                              </w:r>
                              <w:r>
                                <w:rPr>
                                  <w:sz w:val="16"/>
                                  <w:szCs w:val="16"/>
                                </w:rPr>
                                <w:t xml:space="preserve"> </w:t>
                              </w:r>
                              <w:r w:rsidRPr="00591852">
                                <w:rPr>
                                  <w:sz w:val="16"/>
                                  <w:szCs w:val="16"/>
                                </w:rPr>
                                <w:tab/>
                                <w:t xml:space="preserve">     </w:t>
                              </w:r>
                              <w:r>
                                <w:rPr>
                                  <w:sz w:val="16"/>
                                  <w:szCs w:val="16"/>
                                </w:rPr>
                                <w:t xml:space="preserve">        </w:t>
                              </w:r>
                              <w:r w:rsidRPr="00591852">
                                <w:rPr>
                                  <w:sz w:val="16"/>
                                  <w:szCs w:val="16"/>
                                </w:rPr>
                                <w:t xml:space="preserve"> </w:t>
                              </w:r>
                              <w:r>
                                <w:rPr>
                                  <w:sz w:val="16"/>
                                  <w:szCs w:val="16"/>
                                </w:rPr>
                                <w:t>(</w:t>
                              </w:r>
                              <w:r w:rsidRPr="00591852">
                                <w:rPr>
                                  <w:sz w:val="16"/>
                                  <w:szCs w:val="16"/>
                                  <w:u w:val="single"/>
                                </w:rPr>
                                <w:t>1,800,000</w:t>
                              </w:r>
                              <w:r>
                                <w:rPr>
                                  <w:sz w:val="16"/>
                                  <w:szCs w:val="16"/>
                                  <w:u w:val="single"/>
                                </w:rPr>
                                <w:t>)</w:t>
                              </w:r>
                            </w:p>
                            <w:p w:rsidR="00897146" w:rsidRPr="00591852" w:rsidRDefault="00897146" w:rsidP="008D768C">
                              <w:pPr>
                                <w:spacing w:line="240" w:lineRule="auto"/>
                                <w:rPr>
                                  <w:sz w:val="16"/>
                                  <w:szCs w:val="16"/>
                                </w:rPr>
                              </w:pPr>
                            </w:p>
                            <w:p w:rsidR="00897146" w:rsidRPr="00D2719F" w:rsidRDefault="00897146" w:rsidP="008D768C">
                              <w:pPr>
                                <w:spacing w:line="240" w:lineRule="auto"/>
                                <w:rPr>
                                  <w:sz w:val="20"/>
                                </w:rPr>
                              </w:pPr>
                              <w:r w:rsidRPr="00591852">
                                <w:rPr>
                                  <w:sz w:val="16"/>
                                  <w:szCs w:val="16"/>
                                </w:rPr>
                                <w:t xml:space="preserve">Deficiency of Demand (sf) </w:t>
                              </w:r>
                              <w:r w:rsidRPr="00591852">
                                <w:rPr>
                                  <w:sz w:val="16"/>
                                  <w:szCs w:val="16"/>
                                </w:rPr>
                                <w:tab/>
                                <w:t xml:space="preserve">      </w:t>
                              </w:r>
                              <w:r>
                                <w:rPr>
                                  <w:sz w:val="16"/>
                                  <w:szCs w:val="16"/>
                                </w:rPr>
                                <w:t xml:space="preserve">  </w:t>
                              </w:r>
                              <w:r w:rsidRPr="00591852">
                                <w:rPr>
                                  <w:sz w:val="16"/>
                                  <w:szCs w:val="16"/>
                                </w:rPr>
                                <w:tab/>
                                <w:t xml:space="preserve">             </w:t>
                              </w:r>
                              <w:r w:rsidRPr="00591852">
                                <w:rPr>
                                  <w:sz w:val="16"/>
                                  <w:szCs w:val="16"/>
                                </w:rPr>
                                <w:tab/>
                              </w:r>
                              <w:r>
                                <w:rPr>
                                  <w:sz w:val="16"/>
                                  <w:szCs w:val="16"/>
                                </w:rPr>
                                <w:t xml:space="preserve">                   </w:t>
                              </w:r>
                              <w:r w:rsidRPr="00591852">
                                <w:rPr>
                                  <w:sz w:val="16"/>
                                  <w:szCs w:val="16"/>
                                </w:rPr>
                                <w:t>50,000</w:t>
                              </w:r>
                            </w:p>
                          </w:txbxContent>
                        </wps:txbx>
                        <wps:bodyPr rot="0" vert="horz" wrap="square" lIns="91440" tIns="45720" rIns="91440" bIns="45720" anchor="t" anchorCtr="0" upright="1">
                          <a:noAutofit/>
                        </wps:bodyPr>
                      </wps:wsp>
                      <wps:wsp>
                        <wps:cNvPr id="6" name="Text Box 50"/>
                        <wps:cNvSpPr txBox="1">
                          <a:spLocks noChangeArrowheads="1"/>
                        </wps:cNvSpPr>
                        <wps:spPr bwMode="auto">
                          <a:xfrm>
                            <a:off x="6229" y="3466"/>
                            <a:ext cx="5118" cy="3081"/>
                          </a:xfrm>
                          <a:prstGeom prst="rect">
                            <a:avLst/>
                          </a:prstGeom>
                          <a:solidFill>
                            <a:srgbClr val="FFFFFF"/>
                          </a:solidFill>
                          <a:ln w="9525">
                            <a:solidFill>
                              <a:srgbClr val="000000"/>
                            </a:solidFill>
                            <a:miter lim="800000"/>
                            <a:headEnd/>
                            <a:tailEnd/>
                          </a:ln>
                        </wps:spPr>
                        <wps:txbx>
                          <w:txbxContent>
                            <w:p w:rsidR="00897146" w:rsidRPr="00C4645A" w:rsidRDefault="00897146" w:rsidP="008D768C">
                              <w:pPr>
                                <w:spacing w:line="240" w:lineRule="auto"/>
                                <w:rPr>
                                  <w:b/>
                                  <w:sz w:val="16"/>
                                  <w:szCs w:val="16"/>
                                </w:rPr>
                              </w:pPr>
                              <w:r w:rsidRPr="00C4645A">
                                <w:rPr>
                                  <w:b/>
                                  <w:sz w:val="16"/>
                                  <w:szCs w:val="16"/>
                                </w:rPr>
                                <w:t xml:space="preserve">B. Marginal Supply Analysis </w:t>
                              </w:r>
                            </w:p>
                            <w:p w:rsidR="00897146" w:rsidRPr="00591852"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Demand</w:t>
                              </w:r>
                              <w:r w:rsidRPr="00591852">
                                <w:rPr>
                                  <w:sz w:val="16"/>
                                  <w:szCs w:val="16"/>
                                </w:rPr>
                                <w:tab/>
                              </w:r>
                            </w:p>
                            <w:p w:rsidR="00897146" w:rsidRPr="00591852" w:rsidRDefault="00897146" w:rsidP="008D768C">
                              <w:pPr>
                                <w:spacing w:line="240" w:lineRule="auto"/>
                                <w:rPr>
                                  <w:sz w:val="16"/>
                                  <w:szCs w:val="16"/>
                                </w:rPr>
                              </w:pPr>
                              <w:r w:rsidRPr="00591852">
                                <w:rPr>
                                  <w:sz w:val="16"/>
                                  <w:szCs w:val="16"/>
                                </w:rPr>
                                <w:tab/>
                                <w:t xml:space="preserve">Current Employed Workforce </w:t>
                              </w:r>
                              <w:r w:rsidRPr="00591852">
                                <w:rPr>
                                  <w:sz w:val="16"/>
                                  <w:szCs w:val="16"/>
                                </w:rPr>
                                <w:tab/>
                                <w:t xml:space="preserve">           20,000</w:t>
                              </w:r>
                            </w:p>
                            <w:p w:rsidR="00897146" w:rsidRPr="00591852" w:rsidRDefault="00897146" w:rsidP="008D768C">
                              <w:pPr>
                                <w:spacing w:line="240" w:lineRule="auto"/>
                                <w:rPr>
                                  <w:sz w:val="16"/>
                                  <w:szCs w:val="16"/>
                                </w:rPr>
                              </w:pPr>
                              <w:r w:rsidRPr="00591852">
                                <w:rPr>
                                  <w:sz w:val="16"/>
                                  <w:szCs w:val="16"/>
                                </w:rPr>
                                <w:tab/>
                                <w:t xml:space="preserve">% of above in Class A Buildings     </w:t>
                              </w:r>
                              <w:r>
                                <w:rPr>
                                  <w:sz w:val="16"/>
                                  <w:szCs w:val="16"/>
                                </w:rPr>
                                <w:t xml:space="preserve">   </w:t>
                              </w:r>
                              <w:r w:rsidRPr="00591852">
                                <w:rPr>
                                  <w:sz w:val="16"/>
                                  <w:szCs w:val="16"/>
                                </w:rPr>
                                <w:t xml:space="preserve"> </w:t>
                              </w:r>
                              <w:r w:rsidRPr="00591852">
                                <w:rPr>
                                  <w:sz w:val="16"/>
                                  <w:szCs w:val="16"/>
                                  <w:u w:val="single"/>
                                </w:rPr>
                                <w:t xml:space="preserve">    35%</w:t>
                              </w:r>
                            </w:p>
                            <w:p w:rsidR="00897146" w:rsidRPr="00591852" w:rsidRDefault="00897146" w:rsidP="008D768C">
                              <w:pPr>
                                <w:spacing w:line="240" w:lineRule="auto"/>
                                <w:rPr>
                                  <w:sz w:val="16"/>
                                  <w:szCs w:val="16"/>
                                </w:rPr>
                              </w:pPr>
                              <w:r w:rsidRPr="00591852">
                                <w:rPr>
                                  <w:sz w:val="16"/>
                                  <w:szCs w:val="16"/>
                                </w:rPr>
                                <w:tab/>
                              </w:r>
                              <w:r w:rsidRPr="00591852">
                                <w:rPr>
                                  <w:sz w:val="16"/>
                                  <w:szCs w:val="16"/>
                                </w:rPr>
                                <w:tab/>
                              </w:r>
                              <w:r w:rsidRPr="00591852">
                                <w:rPr>
                                  <w:sz w:val="16"/>
                                  <w:szCs w:val="16"/>
                                </w:rPr>
                                <w:tab/>
                              </w:r>
                              <w:r w:rsidRPr="00591852">
                                <w:rPr>
                                  <w:sz w:val="16"/>
                                  <w:szCs w:val="16"/>
                                </w:rPr>
                                <w:tab/>
                              </w:r>
                              <w:r>
                                <w:rPr>
                                  <w:sz w:val="16"/>
                                  <w:szCs w:val="16"/>
                                </w:rPr>
                                <w:t xml:space="preserve"> </w:t>
                              </w:r>
                              <w:r w:rsidRPr="00591852">
                                <w:rPr>
                                  <w:sz w:val="16"/>
                                  <w:szCs w:val="16"/>
                                </w:rPr>
                                <w:t xml:space="preserve">         </w:t>
                              </w:r>
                              <w:r>
                                <w:rPr>
                                  <w:sz w:val="16"/>
                                  <w:szCs w:val="16"/>
                                </w:rPr>
                                <w:t xml:space="preserve"> </w:t>
                              </w:r>
                              <w:r w:rsidRPr="00591852">
                                <w:rPr>
                                  <w:sz w:val="16"/>
                                  <w:szCs w:val="16"/>
                                </w:rPr>
                                <w:t xml:space="preserve">   7,000</w:t>
                              </w:r>
                            </w:p>
                            <w:p w:rsidR="00897146" w:rsidRPr="00591852" w:rsidRDefault="00897146" w:rsidP="008D768C">
                              <w:pPr>
                                <w:spacing w:line="240" w:lineRule="auto"/>
                                <w:rPr>
                                  <w:sz w:val="16"/>
                                  <w:szCs w:val="16"/>
                                  <w:u w:val="single"/>
                                </w:rPr>
                              </w:pPr>
                              <w:r w:rsidRPr="00591852">
                                <w:rPr>
                                  <w:sz w:val="16"/>
                                  <w:szCs w:val="16"/>
                                </w:rPr>
                                <w:tab/>
                                <w:t>Average sf per worker</w:t>
                              </w:r>
                              <w:r w:rsidRPr="00591852">
                                <w:rPr>
                                  <w:sz w:val="16"/>
                                  <w:szCs w:val="16"/>
                                </w:rPr>
                                <w:tab/>
                                <w:t xml:space="preserve">            </w:t>
                              </w:r>
                              <w:r w:rsidRPr="00591852">
                                <w:rPr>
                                  <w:sz w:val="16"/>
                                  <w:szCs w:val="16"/>
                                  <w:u w:val="single"/>
                                </w:rPr>
                                <w:t xml:space="preserve">     250</w:t>
                              </w:r>
                            </w:p>
                            <w:p w:rsidR="00897146" w:rsidRPr="00591852" w:rsidRDefault="00897146" w:rsidP="008D768C">
                              <w:pPr>
                                <w:spacing w:line="240" w:lineRule="auto"/>
                                <w:rPr>
                                  <w:sz w:val="16"/>
                                  <w:szCs w:val="16"/>
                                </w:rPr>
                              </w:pPr>
                              <w:r w:rsidRPr="00591852">
                                <w:rPr>
                                  <w:sz w:val="16"/>
                                  <w:szCs w:val="16"/>
                                </w:rPr>
                                <w:tab/>
                                <w:t>Demand for Class A Space (sf)</w:t>
                              </w:r>
                              <w:r w:rsidRPr="00591852">
                                <w:rPr>
                                  <w:sz w:val="16"/>
                                  <w:szCs w:val="16"/>
                                </w:rPr>
                                <w:tab/>
                                <w:t xml:space="preserve">       1,750,000</w:t>
                              </w:r>
                            </w:p>
                            <w:p w:rsidR="00897146" w:rsidRPr="00591852" w:rsidRDefault="00897146" w:rsidP="00276D9C">
                              <w:pPr>
                                <w:spacing w:line="240" w:lineRule="auto"/>
                                <w:jc w:val="left"/>
                                <w:rPr>
                                  <w:sz w:val="16"/>
                                  <w:szCs w:val="16"/>
                                </w:rPr>
                              </w:pPr>
                              <w:r w:rsidRPr="00591852">
                                <w:rPr>
                                  <w:sz w:val="16"/>
                                  <w:szCs w:val="16"/>
                                </w:rPr>
                                <w:tab/>
                              </w:r>
                              <w:r>
                                <w:rPr>
                                  <w:sz w:val="16"/>
                                  <w:szCs w:val="16"/>
                                </w:rPr>
                                <w:t>Load</w:t>
                              </w:r>
                              <w:r w:rsidRPr="00591852">
                                <w:rPr>
                                  <w:sz w:val="16"/>
                                  <w:szCs w:val="16"/>
                                </w:rPr>
                                <w:t xml:space="preserve"> </w:t>
                              </w:r>
                              <w:r>
                                <w:rPr>
                                  <w:sz w:val="16"/>
                                  <w:szCs w:val="16"/>
                                </w:rPr>
                                <w:t>Equilibrium</w:t>
                              </w:r>
                              <w:r w:rsidRPr="00591852">
                                <w:rPr>
                                  <w:sz w:val="16"/>
                                  <w:szCs w:val="16"/>
                                </w:rPr>
                                <w:t xml:space="preserve"> </w:t>
                              </w:r>
                              <w:proofErr w:type="spellStart"/>
                              <w:r w:rsidRPr="00591852">
                                <w:rPr>
                                  <w:sz w:val="16"/>
                                  <w:szCs w:val="16"/>
                                </w:rPr>
                                <w:t>Vac</w:t>
                              </w:r>
                              <w:proofErr w:type="spellEnd"/>
                              <w:r w:rsidRPr="00591852">
                                <w:rPr>
                                  <w:sz w:val="16"/>
                                  <w:szCs w:val="16"/>
                                </w:rPr>
                                <w:t xml:space="preserve"> @ 10%</w:t>
                              </w:r>
                              <w:r w:rsidRPr="00591852">
                                <w:rPr>
                                  <w:sz w:val="16"/>
                                  <w:szCs w:val="16"/>
                                </w:rPr>
                                <w:tab/>
                                <w:t xml:space="preserve">   </w:t>
                              </w:r>
                              <w:r>
                                <w:rPr>
                                  <w:sz w:val="16"/>
                                  <w:szCs w:val="16"/>
                                </w:rPr>
                                <w:t xml:space="preserve"> </w:t>
                              </w:r>
                              <w:r w:rsidRPr="00591852">
                                <w:rPr>
                                  <w:sz w:val="16"/>
                                  <w:szCs w:val="16"/>
                                </w:rPr>
                                <w:t xml:space="preserve">  </w:t>
                              </w:r>
                              <w:r>
                                <w:rPr>
                                  <w:sz w:val="16"/>
                                  <w:szCs w:val="16"/>
                                </w:rPr>
                                <w:t xml:space="preserve">  </w:t>
                              </w:r>
                              <w:r w:rsidRPr="00591852">
                                <w:rPr>
                                  <w:sz w:val="16"/>
                                  <w:szCs w:val="16"/>
                                </w:rPr>
                                <w:t xml:space="preserve"> </w:t>
                              </w:r>
                              <w:r w:rsidRPr="00591852">
                                <w:rPr>
                                  <w:sz w:val="16"/>
                                  <w:szCs w:val="16"/>
                                  <w:u w:val="single"/>
                                </w:rPr>
                                <w:t xml:space="preserve">  194,444</w:t>
                              </w:r>
                              <w:r w:rsidRPr="00591852">
                                <w:rPr>
                                  <w:sz w:val="16"/>
                                  <w:szCs w:val="16"/>
                                </w:rPr>
                                <w:tab/>
                                <w:t xml:space="preserve">Supportable Demand (sf)               </w:t>
                              </w:r>
                              <w:r>
                                <w:rPr>
                                  <w:sz w:val="16"/>
                                  <w:szCs w:val="16"/>
                                </w:rPr>
                                <w:t xml:space="preserve">                    </w:t>
                              </w:r>
                              <w:r w:rsidRPr="00591852">
                                <w:rPr>
                                  <w:sz w:val="16"/>
                                  <w:szCs w:val="16"/>
                                </w:rPr>
                                <w:t xml:space="preserve">   1,944,444</w:t>
                              </w:r>
                            </w:p>
                            <w:p w:rsidR="00897146" w:rsidRPr="00591852" w:rsidRDefault="00897146" w:rsidP="008D768C">
                              <w:pPr>
                                <w:spacing w:line="240" w:lineRule="auto"/>
                                <w:rPr>
                                  <w:sz w:val="16"/>
                                  <w:szCs w:val="16"/>
                                </w:rPr>
                              </w:pPr>
                              <w:r w:rsidRPr="00591852">
                                <w:rPr>
                                  <w:sz w:val="16"/>
                                  <w:szCs w:val="16"/>
                                </w:rPr>
                                <w:tab/>
                              </w:r>
                              <w:r w:rsidRPr="00591852">
                                <w:rPr>
                                  <w:sz w:val="16"/>
                                  <w:szCs w:val="16"/>
                                </w:rPr>
                                <w:tab/>
                              </w:r>
                              <w:r w:rsidRPr="00591852">
                                <w:rPr>
                                  <w:sz w:val="16"/>
                                  <w:szCs w:val="16"/>
                                </w:rPr>
                                <w:tab/>
                              </w:r>
                              <w:r w:rsidRPr="00591852">
                                <w:rPr>
                                  <w:sz w:val="16"/>
                                  <w:szCs w:val="16"/>
                                </w:rPr>
                                <w:tab/>
                              </w:r>
                            </w:p>
                            <w:p w:rsidR="00897146" w:rsidRPr="00591852" w:rsidRDefault="00897146" w:rsidP="008D768C">
                              <w:pPr>
                                <w:spacing w:line="240" w:lineRule="auto"/>
                                <w:rPr>
                                  <w:sz w:val="16"/>
                                  <w:szCs w:val="16"/>
                                </w:rPr>
                              </w:pPr>
                              <w:r w:rsidRPr="00591852">
                                <w:rPr>
                                  <w:sz w:val="16"/>
                                  <w:szCs w:val="16"/>
                                </w:rPr>
                                <w:t>Supply</w:t>
                              </w:r>
                            </w:p>
                            <w:p w:rsidR="00897146" w:rsidRPr="00D66EC4" w:rsidRDefault="00897146" w:rsidP="00276D9C">
                              <w:pPr>
                                <w:spacing w:line="240" w:lineRule="auto"/>
                                <w:jc w:val="left"/>
                                <w:rPr>
                                  <w:sz w:val="16"/>
                                  <w:szCs w:val="16"/>
                                  <w:u w:val="single"/>
                                </w:rPr>
                              </w:pPr>
                              <w:r w:rsidRPr="00591852">
                                <w:rPr>
                                  <w:sz w:val="16"/>
                                  <w:szCs w:val="16"/>
                                </w:rPr>
                                <w:tab/>
                                <w:t xml:space="preserve">Current Existing Class A Space (sf)    </w:t>
                              </w:r>
                              <w:r>
                                <w:rPr>
                                  <w:sz w:val="16"/>
                                  <w:szCs w:val="16"/>
                                </w:rPr>
                                <w:t xml:space="preserve">               (</w:t>
                              </w:r>
                              <w:r w:rsidRPr="00D66EC4">
                                <w:rPr>
                                  <w:sz w:val="16"/>
                                  <w:szCs w:val="16"/>
                                  <w:u w:val="single"/>
                                </w:rPr>
                                <w:t>2,000,000</w:t>
                              </w:r>
                              <w:r>
                                <w:rPr>
                                  <w:sz w:val="16"/>
                                  <w:szCs w:val="16"/>
                                  <w:u w:val="single"/>
                                </w:rPr>
                                <w:t>)</w:t>
                              </w:r>
                            </w:p>
                            <w:p w:rsidR="00897146" w:rsidRPr="00591852"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Excess of Supply (sf)</w:t>
                              </w:r>
                              <w:r w:rsidRPr="00591852">
                                <w:rPr>
                                  <w:sz w:val="16"/>
                                  <w:szCs w:val="16"/>
                                </w:rPr>
                                <w:tab/>
                              </w:r>
                              <w:r>
                                <w:rPr>
                                  <w:sz w:val="16"/>
                                  <w:szCs w:val="16"/>
                                </w:rPr>
                                <w:t xml:space="preserve">  </w:t>
                              </w:r>
                              <w:r w:rsidRPr="00591852">
                                <w:rPr>
                                  <w:sz w:val="16"/>
                                  <w:szCs w:val="16"/>
                                </w:rPr>
                                <w:tab/>
                                <w:t xml:space="preserve">            </w:t>
                              </w:r>
                              <w:r>
                                <w:rPr>
                                  <w:sz w:val="16"/>
                                  <w:szCs w:val="16"/>
                                </w:rPr>
                                <w:t xml:space="preserve">                 </w:t>
                              </w:r>
                              <w:r w:rsidRPr="00591852">
                                <w:rPr>
                                  <w:sz w:val="16"/>
                                  <w:szCs w:val="16"/>
                                </w:rPr>
                                <w:t>55,556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left:0;text-align:left;margin-left:-40.3pt;margin-top:64.1pt;width:525.6pt;height:154.1pt;z-index:251719680" coordorigin="840,3466" coordsize="10507,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">
                <v:shapetype id="_x0000_t202" coordsize="21600,21600" o:spt="202" path="m,l,21600r21600,l21600,xe">
                  <v:stroke joinstyle="miter"/>
                  <v:path gradientshapeok="t" o:connecttype="rect"/>
                </v:shapetype>
                <v:shape id="Text Box 49" o:spid="_x0000_s1027" type="#_x0000_t202" style="position:absolute;left:840;top:3466;width:5295;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97146" w:rsidRPr="00C4645A" w:rsidRDefault="00897146" w:rsidP="008D768C">
                        <w:pPr>
                          <w:spacing w:line="240" w:lineRule="auto"/>
                          <w:rPr>
                            <w:b/>
                            <w:sz w:val="16"/>
                            <w:szCs w:val="16"/>
                          </w:rPr>
                        </w:pPr>
                        <w:r w:rsidRPr="00C4645A">
                          <w:rPr>
                            <w:b/>
                            <w:sz w:val="16"/>
                            <w:szCs w:val="16"/>
                          </w:rPr>
                          <w:t xml:space="preserve">A. Marginal Demand Analysis </w:t>
                        </w:r>
                      </w:p>
                      <w:p w:rsidR="00897146" w:rsidRPr="00591852"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Demand</w:t>
                        </w:r>
                        <w:r w:rsidRPr="00591852">
                          <w:rPr>
                            <w:sz w:val="16"/>
                            <w:szCs w:val="16"/>
                          </w:rPr>
                          <w:tab/>
                        </w:r>
                      </w:p>
                      <w:p w:rsidR="00897146" w:rsidRPr="00591852" w:rsidRDefault="00897146" w:rsidP="008D768C">
                        <w:pPr>
                          <w:spacing w:line="240" w:lineRule="auto"/>
                          <w:rPr>
                            <w:sz w:val="16"/>
                            <w:szCs w:val="16"/>
                          </w:rPr>
                        </w:pPr>
                        <w:r w:rsidRPr="00591852">
                          <w:rPr>
                            <w:sz w:val="16"/>
                            <w:szCs w:val="16"/>
                          </w:rPr>
                          <w:tab/>
                          <w:t xml:space="preserve">Current Employed Workforce </w:t>
                        </w:r>
                        <w:r w:rsidRPr="00591852">
                          <w:rPr>
                            <w:sz w:val="16"/>
                            <w:szCs w:val="16"/>
                          </w:rPr>
                          <w:tab/>
                          <w:t xml:space="preserve">         </w:t>
                        </w:r>
                        <w:r>
                          <w:rPr>
                            <w:sz w:val="16"/>
                            <w:szCs w:val="16"/>
                          </w:rPr>
                          <w:t xml:space="preserve">   </w:t>
                        </w:r>
                        <w:r w:rsidRPr="00591852">
                          <w:rPr>
                            <w:sz w:val="16"/>
                            <w:szCs w:val="16"/>
                          </w:rPr>
                          <w:t xml:space="preserve"> </w:t>
                        </w:r>
                        <w:r>
                          <w:rPr>
                            <w:sz w:val="16"/>
                            <w:szCs w:val="16"/>
                          </w:rPr>
                          <w:t xml:space="preserve">   </w:t>
                        </w:r>
                        <w:r w:rsidRPr="00591852">
                          <w:rPr>
                            <w:sz w:val="16"/>
                            <w:szCs w:val="16"/>
                          </w:rPr>
                          <w:t xml:space="preserve"> 20,000</w:t>
                        </w:r>
                      </w:p>
                      <w:p w:rsidR="00897146" w:rsidRPr="00591852" w:rsidRDefault="00897146" w:rsidP="008D768C">
                        <w:pPr>
                          <w:spacing w:line="240" w:lineRule="auto"/>
                          <w:rPr>
                            <w:sz w:val="16"/>
                            <w:szCs w:val="16"/>
                          </w:rPr>
                        </w:pPr>
                        <w:r w:rsidRPr="00591852">
                          <w:rPr>
                            <w:sz w:val="16"/>
                            <w:szCs w:val="16"/>
                          </w:rPr>
                          <w:tab/>
                          <w:t xml:space="preserve">% of above in Class A Buildings          </w:t>
                        </w:r>
                        <w:r>
                          <w:rPr>
                            <w:sz w:val="16"/>
                            <w:szCs w:val="16"/>
                          </w:rPr>
                          <w:t xml:space="preserve">    </w:t>
                        </w:r>
                        <w:r>
                          <w:rPr>
                            <w:sz w:val="16"/>
                            <w:szCs w:val="16"/>
                            <w:u w:val="single"/>
                          </w:rPr>
                          <w:t xml:space="preserve">  </w:t>
                        </w:r>
                        <w:r w:rsidRPr="00591852">
                          <w:rPr>
                            <w:sz w:val="16"/>
                            <w:szCs w:val="16"/>
                            <w:u w:val="single"/>
                          </w:rPr>
                          <w:t xml:space="preserve">   35%</w:t>
                        </w:r>
                      </w:p>
                      <w:p w:rsidR="00897146" w:rsidRPr="00591852" w:rsidRDefault="00897146" w:rsidP="008D768C">
                        <w:pPr>
                          <w:spacing w:line="240" w:lineRule="auto"/>
                          <w:rPr>
                            <w:sz w:val="16"/>
                            <w:szCs w:val="16"/>
                          </w:rPr>
                        </w:pPr>
                        <w:r>
                          <w:rPr>
                            <w:sz w:val="16"/>
                            <w:szCs w:val="16"/>
                          </w:rPr>
                          <w:tab/>
                        </w:r>
                        <w:r>
                          <w:rPr>
                            <w:sz w:val="16"/>
                            <w:szCs w:val="16"/>
                          </w:rPr>
                          <w:tab/>
                        </w:r>
                        <w:r>
                          <w:rPr>
                            <w:sz w:val="16"/>
                            <w:szCs w:val="16"/>
                          </w:rPr>
                          <w:tab/>
                        </w:r>
                        <w:r>
                          <w:rPr>
                            <w:sz w:val="16"/>
                            <w:szCs w:val="16"/>
                          </w:rPr>
                          <w:tab/>
                          <w:t xml:space="preserve">                 </w:t>
                        </w:r>
                        <w:r w:rsidRPr="00591852">
                          <w:rPr>
                            <w:sz w:val="16"/>
                            <w:szCs w:val="16"/>
                          </w:rPr>
                          <w:t xml:space="preserve">  7,000</w:t>
                        </w:r>
                      </w:p>
                      <w:p w:rsidR="00897146" w:rsidRPr="00591852" w:rsidRDefault="00897146" w:rsidP="008D768C">
                        <w:pPr>
                          <w:spacing w:line="240" w:lineRule="auto"/>
                          <w:rPr>
                            <w:sz w:val="16"/>
                            <w:szCs w:val="16"/>
                            <w:u w:val="single"/>
                          </w:rPr>
                        </w:pPr>
                        <w:r w:rsidRPr="00591852">
                          <w:rPr>
                            <w:sz w:val="16"/>
                            <w:szCs w:val="16"/>
                          </w:rPr>
                          <w:tab/>
                          <w:t>Average sf per worker</w:t>
                        </w:r>
                        <w:r w:rsidRPr="00591852">
                          <w:rPr>
                            <w:sz w:val="16"/>
                            <w:szCs w:val="16"/>
                          </w:rPr>
                          <w:tab/>
                          <w:t xml:space="preserve">         </w:t>
                        </w:r>
                        <w:r>
                          <w:rPr>
                            <w:sz w:val="16"/>
                            <w:szCs w:val="16"/>
                          </w:rPr>
                          <w:t xml:space="preserve">      </w:t>
                        </w:r>
                        <w:r w:rsidRPr="00591852">
                          <w:rPr>
                            <w:sz w:val="16"/>
                            <w:szCs w:val="16"/>
                            <w:u w:val="single"/>
                          </w:rPr>
                          <w:t xml:space="preserve">       250</w:t>
                        </w:r>
                      </w:p>
                      <w:p w:rsidR="00897146" w:rsidRPr="00591852" w:rsidRDefault="00897146" w:rsidP="008D768C">
                        <w:pPr>
                          <w:spacing w:line="240" w:lineRule="auto"/>
                          <w:ind w:firstLine="720"/>
                          <w:rPr>
                            <w:sz w:val="16"/>
                            <w:szCs w:val="16"/>
                          </w:rPr>
                        </w:pPr>
                        <w:r w:rsidRPr="00591852">
                          <w:rPr>
                            <w:sz w:val="16"/>
                            <w:szCs w:val="16"/>
                          </w:rPr>
                          <w:t>Demand for Class A Space (sf)</w:t>
                        </w:r>
                        <w:r w:rsidRPr="00591852">
                          <w:rPr>
                            <w:sz w:val="16"/>
                            <w:szCs w:val="16"/>
                          </w:rPr>
                          <w:tab/>
                          <w:t xml:space="preserve">     </w:t>
                        </w:r>
                        <w:r>
                          <w:rPr>
                            <w:sz w:val="16"/>
                            <w:szCs w:val="16"/>
                          </w:rPr>
                          <w:t xml:space="preserve">                           </w:t>
                        </w:r>
                        <w:r w:rsidRPr="00591852">
                          <w:rPr>
                            <w:sz w:val="16"/>
                            <w:szCs w:val="16"/>
                          </w:rPr>
                          <w:t xml:space="preserve"> 1,750,000</w:t>
                        </w:r>
                      </w:p>
                      <w:p w:rsidR="00897146"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Supply</w:t>
                        </w:r>
                      </w:p>
                      <w:p w:rsidR="00897146" w:rsidRPr="00591852" w:rsidRDefault="00897146" w:rsidP="008D768C">
                        <w:pPr>
                          <w:spacing w:line="240" w:lineRule="auto"/>
                          <w:rPr>
                            <w:sz w:val="16"/>
                            <w:szCs w:val="16"/>
                          </w:rPr>
                        </w:pPr>
                        <w:r w:rsidRPr="00591852">
                          <w:rPr>
                            <w:sz w:val="16"/>
                            <w:szCs w:val="16"/>
                          </w:rPr>
                          <w:tab/>
                          <w:t>Current Existing Class A Space (sf)   2,000,000</w:t>
                        </w:r>
                      </w:p>
                      <w:p w:rsidR="00897146" w:rsidRPr="00591852" w:rsidRDefault="00897146" w:rsidP="008D768C">
                        <w:pPr>
                          <w:spacing w:line="240" w:lineRule="auto"/>
                          <w:rPr>
                            <w:sz w:val="16"/>
                            <w:szCs w:val="16"/>
                            <w:u w:val="single"/>
                          </w:rPr>
                        </w:pPr>
                        <w:r w:rsidRPr="00591852">
                          <w:rPr>
                            <w:sz w:val="16"/>
                            <w:szCs w:val="16"/>
                          </w:rPr>
                          <w:tab/>
                          <w:t xml:space="preserve">Less </w:t>
                        </w:r>
                        <w:r>
                          <w:rPr>
                            <w:sz w:val="16"/>
                            <w:szCs w:val="16"/>
                          </w:rPr>
                          <w:t>Equilibrium</w:t>
                        </w:r>
                        <w:r w:rsidRPr="00591852">
                          <w:rPr>
                            <w:sz w:val="16"/>
                            <w:szCs w:val="16"/>
                          </w:rPr>
                          <w:t xml:space="preserve"> </w:t>
                        </w:r>
                        <w:proofErr w:type="spellStart"/>
                        <w:r w:rsidRPr="00591852">
                          <w:rPr>
                            <w:sz w:val="16"/>
                            <w:szCs w:val="16"/>
                          </w:rPr>
                          <w:t>Vac</w:t>
                        </w:r>
                        <w:proofErr w:type="spellEnd"/>
                        <w:r w:rsidRPr="00591852">
                          <w:rPr>
                            <w:sz w:val="16"/>
                            <w:szCs w:val="16"/>
                          </w:rPr>
                          <w:t xml:space="preserve"> @ 10%</w:t>
                        </w:r>
                        <w:r w:rsidRPr="00591852">
                          <w:rPr>
                            <w:sz w:val="16"/>
                            <w:szCs w:val="16"/>
                          </w:rPr>
                          <w:tab/>
                          <w:t xml:space="preserve">        </w:t>
                        </w:r>
                        <w:r>
                          <w:rPr>
                            <w:sz w:val="16"/>
                            <w:szCs w:val="16"/>
                          </w:rPr>
                          <w:t xml:space="preserve">  </w:t>
                        </w:r>
                        <w:r w:rsidRPr="00591852">
                          <w:rPr>
                            <w:sz w:val="16"/>
                            <w:szCs w:val="16"/>
                          </w:rPr>
                          <w:t xml:space="preserve"> </w:t>
                        </w:r>
                        <w:r w:rsidRPr="00591852">
                          <w:rPr>
                            <w:sz w:val="16"/>
                            <w:szCs w:val="16"/>
                            <w:u w:val="single"/>
                          </w:rPr>
                          <w:t xml:space="preserve"> </w:t>
                        </w:r>
                        <w:r>
                          <w:rPr>
                            <w:sz w:val="16"/>
                            <w:szCs w:val="16"/>
                            <w:u w:val="single"/>
                          </w:rPr>
                          <w:t xml:space="preserve">   </w:t>
                        </w:r>
                        <w:r w:rsidRPr="00591852">
                          <w:rPr>
                            <w:sz w:val="16"/>
                            <w:szCs w:val="16"/>
                            <w:u w:val="single"/>
                          </w:rPr>
                          <w:t>200,000</w:t>
                        </w:r>
                      </w:p>
                      <w:p w:rsidR="00897146" w:rsidRPr="00591852" w:rsidRDefault="00897146" w:rsidP="008D768C">
                        <w:pPr>
                          <w:spacing w:line="240" w:lineRule="auto"/>
                          <w:rPr>
                            <w:sz w:val="16"/>
                            <w:szCs w:val="16"/>
                            <w:u w:val="single"/>
                          </w:rPr>
                        </w:pPr>
                        <w:r w:rsidRPr="00591852">
                          <w:rPr>
                            <w:sz w:val="16"/>
                            <w:szCs w:val="16"/>
                          </w:rPr>
                          <w:tab/>
                          <w:t xml:space="preserve">Supply net of </w:t>
                        </w:r>
                        <w:r>
                          <w:rPr>
                            <w:sz w:val="16"/>
                            <w:szCs w:val="16"/>
                          </w:rPr>
                          <w:t>Equilibrium</w:t>
                        </w:r>
                        <w:r w:rsidRPr="00591852">
                          <w:rPr>
                            <w:sz w:val="16"/>
                            <w:szCs w:val="16"/>
                          </w:rPr>
                          <w:t xml:space="preserve"> Vac. (sf)</w:t>
                        </w:r>
                        <w:r>
                          <w:rPr>
                            <w:sz w:val="16"/>
                            <w:szCs w:val="16"/>
                          </w:rPr>
                          <w:t xml:space="preserve"> </w:t>
                        </w:r>
                        <w:r w:rsidRPr="00591852">
                          <w:rPr>
                            <w:sz w:val="16"/>
                            <w:szCs w:val="16"/>
                          </w:rPr>
                          <w:tab/>
                          <w:t xml:space="preserve">     </w:t>
                        </w:r>
                        <w:r>
                          <w:rPr>
                            <w:sz w:val="16"/>
                            <w:szCs w:val="16"/>
                          </w:rPr>
                          <w:t xml:space="preserve">        </w:t>
                        </w:r>
                        <w:r w:rsidRPr="00591852">
                          <w:rPr>
                            <w:sz w:val="16"/>
                            <w:szCs w:val="16"/>
                          </w:rPr>
                          <w:t xml:space="preserve"> </w:t>
                        </w:r>
                        <w:r>
                          <w:rPr>
                            <w:sz w:val="16"/>
                            <w:szCs w:val="16"/>
                          </w:rPr>
                          <w:t>(</w:t>
                        </w:r>
                        <w:r w:rsidRPr="00591852">
                          <w:rPr>
                            <w:sz w:val="16"/>
                            <w:szCs w:val="16"/>
                            <w:u w:val="single"/>
                          </w:rPr>
                          <w:t>1,800,000</w:t>
                        </w:r>
                        <w:r>
                          <w:rPr>
                            <w:sz w:val="16"/>
                            <w:szCs w:val="16"/>
                            <w:u w:val="single"/>
                          </w:rPr>
                          <w:t>)</w:t>
                        </w:r>
                      </w:p>
                      <w:p w:rsidR="00897146" w:rsidRPr="00591852" w:rsidRDefault="00897146" w:rsidP="008D768C">
                        <w:pPr>
                          <w:spacing w:line="240" w:lineRule="auto"/>
                          <w:rPr>
                            <w:sz w:val="16"/>
                            <w:szCs w:val="16"/>
                          </w:rPr>
                        </w:pPr>
                      </w:p>
                      <w:p w:rsidR="00897146" w:rsidRPr="00D2719F" w:rsidRDefault="00897146" w:rsidP="008D768C">
                        <w:pPr>
                          <w:spacing w:line="240" w:lineRule="auto"/>
                          <w:rPr>
                            <w:sz w:val="20"/>
                          </w:rPr>
                        </w:pPr>
                        <w:r w:rsidRPr="00591852">
                          <w:rPr>
                            <w:sz w:val="16"/>
                            <w:szCs w:val="16"/>
                          </w:rPr>
                          <w:t xml:space="preserve">Deficiency of Demand (sf) </w:t>
                        </w:r>
                        <w:r w:rsidRPr="00591852">
                          <w:rPr>
                            <w:sz w:val="16"/>
                            <w:szCs w:val="16"/>
                          </w:rPr>
                          <w:tab/>
                          <w:t xml:space="preserve">      </w:t>
                        </w:r>
                        <w:r>
                          <w:rPr>
                            <w:sz w:val="16"/>
                            <w:szCs w:val="16"/>
                          </w:rPr>
                          <w:t xml:space="preserve">  </w:t>
                        </w:r>
                        <w:r w:rsidRPr="00591852">
                          <w:rPr>
                            <w:sz w:val="16"/>
                            <w:szCs w:val="16"/>
                          </w:rPr>
                          <w:tab/>
                          <w:t xml:space="preserve">             </w:t>
                        </w:r>
                        <w:r w:rsidRPr="00591852">
                          <w:rPr>
                            <w:sz w:val="16"/>
                            <w:szCs w:val="16"/>
                          </w:rPr>
                          <w:tab/>
                        </w:r>
                        <w:r>
                          <w:rPr>
                            <w:sz w:val="16"/>
                            <w:szCs w:val="16"/>
                          </w:rPr>
                          <w:t xml:space="preserve">                   </w:t>
                        </w:r>
                        <w:r w:rsidRPr="00591852">
                          <w:rPr>
                            <w:sz w:val="16"/>
                            <w:szCs w:val="16"/>
                          </w:rPr>
                          <w:t>50,000</w:t>
                        </w:r>
                      </w:p>
                    </w:txbxContent>
                  </v:textbox>
                </v:shape>
                <v:shape id="Text Box 50" o:spid="_x0000_s1028" type="#_x0000_t202" style="position:absolute;left:6229;top:3466;width:5118;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97146" w:rsidRPr="00C4645A" w:rsidRDefault="00897146" w:rsidP="008D768C">
                        <w:pPr>
                          <w:spacing w:line="240" w:lineRule="auto"/>
                          <w:rPr>
                            <w:b/>
                            <w:sz w:val="16"/>
                            <w:szCs w:val="16"/>
                          </w:rPr>
                        </w:pPr>
                        <w:r w:rsidRPr="00C4645A">
                          <w:rPr>
                            <w:b/>
                            <w:sz w:val="16"/>
                            <w:szCs w:val="16"/>
                          </w:rPr>
                          <w:t xml:space="preserve">B. Marginal Supply Analysis </w:t>
                        </w:r>
                      </w:p>
                      <w:p w:rsidR="00897146" w:rsidRPr="00591852"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Demand</w:t>
                        </w:r>
                        <w:r w:rsidRPr="00591852">
                          <w:rPr>
                            <w:sz w:val="16"/>
                            <w:szCs w:val="16"/>
                          </w:rPr>
                          <w:tab/>
                        </w:r>
                      </w:p>
                      <w:p w:rsidR="00897146" w:rsidRPr="00591852" w:rsidRDefault="00897146" w:rsidP="008D768C">
                        <w:pPr>
                          <w:spacing w:line="240" w:lineRule="auto"/>
                          <w:rPr>
                            <w:sz w:val="16"/>
                            <w:szCs w:val="16"/>
                          </w:rPr>
                        </w:pPr>
                        <w:r w:rsidRPr="00591852">
                          <w:rPr>
                            <w:sz w:val="16"/>
                            <w:szCs w:val="16"/>
                          </w:rPr>
                          <w:tab/>
                          <w:t xml:space="preserve">Current Employed Workforce </w:t>
                        </w:r>
                        <w:r w:rsidRPr="00591852">
                          <w:rPr>
                            <w:sz w:val="16"/>
                            <w:szCs w:val="16"/>
                          </w:rPr>
                          <w:tab/>
                          <w:t xml:space="preserve">           20,000</w:t>
                        </w:r>
                      </w:p>
                      <w:p w:rsidR="00897146" w:rsidRPr="00591852" w:rsidRDefault="00897146" w:rsidP="008D768C">
                        <w:pPr>
                          <w:spacing w:line="240" w:lineRule="auto"/>
                          <w:rPr>
                            <w:sz w:val="16"/>
                            <w:szCs w:val="16"/>
                          </w:rPr>
                        </w:pPr>
                        <w:r w:rsidRPr="00591852">
                          <w:rPr>
                            <w:sz w:val="16"/>
                            <w:szCs w:val="16"/>
                          </w:rPr>
                          <w:tab/>
                          <w:t xml:space="preserve">% of above in Class A Buildings     </w:t>
                        </w:r>
                        <w:r>
                          <w:rPr>
                            <w:sz w:val="16"/>
                            <w:szCs w:val="16"/>
                          </w:rPr>
                          <w:t xml:space="preserve">   </w:t>
                        </w:r>
                        <w:r w:rsidRPr="00591852">
                          <w:rPr>
                            <w:sz w:val="16"/>
                            <w:szCs w:val="16"/>
                          </w:rPr>
                          <w:t xml:space="preserve"> </w:t>
                        </w:r>
                        <w:r w:rsidRPr="00591852">
                          <w:rPr>
                            <w:sz w:val="16"/>
                            <w:szCs w:val="16"/>
                            <w:u w:val="single"/>
                          </w:rPr>
                          <w:t xml:space="preserve">    35%</w:t>
                        </w:r>
                      </w:p>
                      <w:p w:rsidR="00897146" w:rsidRPr="00591852" w:rsidRDefault="00897146" w:rsidP="008D768C">
                        <w:pPr>
                          <w:spacing w:line="240" w:lineRule="auto"/>
                          <w:rPr>
                            <w:sz w:val="16"/>
                            <w:szCs w:val="16"/>
                          </w:rPr>
                        </w:pPr>
                        <w:r w:rsidRPr="00591852">
                          <w:rPr>
                            <w:sz w:val="16"/>
                            <w:szCs w:val="16"/>
                          </w:rPr>
                          <w:tab/>
                        </w:r>
                        <w:r w:rsidRPr="00591852">
                          <w:rPr>
                            <w:sz w:val="16"/>
                            <w:szCs w:val="16"/>
                          </w:rPr>
                          <w:tab/>
                        </w:r>
                        <w:r w:rsidRPr="00591852">
                          <w:rPr>
                            <w:sz w:val="16"/>
                            <w:szCs w:val="16"/>
                          </w:rPr>
                          <w:tab/>
                        </w:r>
                        <w:r w:rsidRPr="00591852">
                          <w:rPr>
                            <w:sz w:val="16"/>
                            <w:szCs w:val="16"/>
                          </w:rPr>
                          <w:tab/>
                        </w:r>
                        <w:r>
                          <w:rPr>
                            <w:sz w:val="16"/>
                            <w:szCs w:val="16"/>
                          </w:rPr>
                          <w:t xml:space="preserve"> </w:t>
                        </w:r>
                        <w:r w:rsidRPr="00591852">
                          <w:rPr>
                            <w:sz w:val="16"/>
                            <w:szCs w:val="16"/>
                          </w:rPr>
                          <w:t xml:space="preserve">         </w:t>
                        </w:r>
                        <w:r>
                          <w:rPr>
                            <w:sz w:val="16"/>
                            <w:szCs w:val="16"/>
                          </w:rPr>
                          <w:t xml:space="preserve"> </w:t>
                        </w:r>
                        <w:r w:rsidRPr="00591852">
                          <w:rPr>
                            <w:sz w:val="16"/>
                            <w:szCs w:val="16"/>
                          </w:rPr>
                          <w:t xml:space="preserve">   7,000</w:t>
                        </w:r>
                      </w:p>
                      <w:p w:rsidR="00897146" w:rsidRPr="00591852" w:rsidRDefault="00897146" w:rsidP="008D768C">
                        <w:pPr>
                          <w:spacing w:line="240" w:lineRule="auto"/>
                          <w:rPr>
                            <w:sz w:val="16"/>
                            <w:szCs w:val="16"/>
                            <w:u w:val="single"/>
                          </w:rPr>
                        </w:pPr>
                        <w:r w:rsidRPr="00591852">
                          <w:rPr>
                            <w:sz w:val="16"/>
                            <w:szCs w:val="16"/>
                          </w:rPr>
                          <w:tab/>
                          <w:t>Average sf per worker</w:t>
                        </w:r>
                        <w:r w:rsidRPr="00591852">
                          <w:rPr>
                            <w:sz w:val="16"/>
                            <w:szCs w:val="16"/>
                          </w:rPr>
                          <w:tab/>
                          <w:t xml:space="preserve">            </w:t>
                        </w:r>
                        <w:r w:rsidRPr="00591852">
                          <w:rPr>
                            <w:sz w:val="16"/>
                            <w:szCs w:val="16"/>
                            <w:u w:val="single"/>
                          </w:rPr>
                          <w:t xml:space="preserve">     250</w:t>
                        </w:r>
                      </w:p>
                      <w:p w:rsidR="00897146" w:rsidRPr="00591852" w:rsidRDefault="00897146" w:rsidP="008D768C">
                        <w:pPr>
                          <w:spacing w:line="240" w:lineRule="auto"/>
                          <w:rPr>
                            <w:sz w:val="16"/>
                            <w:szCs w:val="16"/>
                          </w:rPr>
                        </w:pPr>
                        <w:r w:rsidRPr="00591852">
                          <w:rPr>
                            <w:sz w:val="16"/>
                            <w:szCs w:val="16"/>
                          </w:rPr>
                          <w:tab/>
                          <w:t>Demand for Class A Space (sf)</w:t>
                        </w:r>
                        <w:r w:rsidRPr="00591852">
                          <w:rPr>
                            <w:sz w:val="16"/>
                            <w:szCs w:val="16"/>
                          </w:rPr>
                          <w:tab/>
                          <w:t xml:space="preserve">       1,750,000</w:t>
                        </w:r>
                      </w:p>
                      <w:p w:rsidR="00897146" w:rsidRPr="00591852" w:rsidRDefault="00897146" w:rsidP="00276D9C">
                        <w:pPr>
                          <w:spacing w:line="240" w:lineRule="auto"/>
                          <w:jc w:val="left"/>
                          <w:rPr>
                            <w:sz w:val="16"/>
                            <w:szCs w:val="16"/>
                          </w:rPr>
                        </w:pPr>
                        <w:r w:rsidRPr="00591852">
                          <w:rPr>
                            <w:sz w:val="16"/>
                            <w:szCs w:val="16"/>
                          </w:rPr>
                          <w:tab/>
                        </w:r>
                        <w:r>
                          <w:rPr>
                            <w:sz w:val="16"/>
                            <w:szCs w:val="16"/>
                          </w:rPr>
                          <w:t>Load</w:t>
                        </w:r>
                        <w:r w:rsidRPr="00591852">
                          <w:rPr>
                            <w:sz w:val="16"/>
                            <w:szCs w:val="16"/>
                          </w:rPr>
                          <w:t xml:space="preserve"> </w:t>
                        </w:r>
                        <w:r>
                          <w:rPr>
                            <w:sz w:val="16"/>
                            <w:szCs w:val="16"/>
                          </w:rPr>
                          <w:t>Equilibrium</w:t>
                        </w:r>
                        <w:r w:rsidRPr="00591852">
                          <w:rPr>
                            <w:sz w:val="16"/>
                            <w:szCs w:val="16"/>
                          </w:rPr>
                          <w:t xml:space="preserve"> </w:t>
                        </w:r>
                        <w:proofErr w:type="spellStart"/>
                        <w:r w:rsidRPr="00591852">
                          <w:rPr>
                            <w:sz w:val="16"/>
                            <w:szCs w:val="16"/>
                          </w:rPr>
                          <w:t>Vac</w:t>
                        </w:r>
                        <w:proofErr w:type="spellEnd"/>
                        <w:r w:rsidRPr="00591852">
                          <w:rPr>
                            <w:sz w:val="16"/>
                            <w:szCs w:val="16"/>
                          </w:rPr>
                          <w:t xml:space="preserve"> @ 10%</w:t>
                        </w:r>
                        <w:r w:rsidRPr="00591852">
                          <w:rPr>
                            <w:sz w:val="16"/>
                            <w:szCs w:val="16"/>
                          </w:rPr>
                          <w:tab/>
                          <w:t xml:space="preserve">   </w:t>
                        </w:r>
                        <w:r>
                          <w:rPr>
                            <w:sz w:val="16"/>
                            <w:szCs w:val="16"/>
                          </w:rPr>
                          <w:t xml:space="preserve"> </w:t>
                        </w:r>
                        <w:r w:rsidRPr="00591852">
                          <w:rPr>
                            <w:sz w:val="16"/>
                            <w:szCs w:val="16"/>
                          </w:rPr>
                          <w:t xml:space="preserve">  </w:t>
                        </w:r>
                        <w:r>
                          <w:rPr>
                            <w:sz w:val="16"/>
                            <w:szCs w:val="16"/>
                          </w:rPr>
                          <w:t xml:space="preserve">  </w:t>
                        </w:r>
                        <w:r w:rsidRPr="00591852">
                          <w:rPr>
                            <w:sz w:val="16"/>
                            <w:szCs w:val="16"/>
                          </w:rPr>
                          <w:t xml:space="preserve"> </w:t>
                        </w:r>
                        <w:r w:rsidRPr="00591852">
                          <w:rPr>
                            <w:sz w:val="16"/>
                            <w:szCs w:val="16"/>
                            <w:u w:val="single"/>
                          </w:rPr>
                          <w:t xml:space="preserve">  194,444</w:t>
                        </w:r>
                        <w:r w:rsidRPr="00591852">
                          <w:rPr>
                            <w:sz w:val="16"/>
                            <w:szCs w:val="16"/>
                          </w:rPr>
                          <w:tab/>
                          <w:t xml:space="preserve">Supportable Demand (sf)               </w:t>
                        </w:r>
                        <w:r>
                          <w:rPr>
                            <w:sz w:val="16"/>
                            <w:szCs w:val="16"/>
                          </w:rPr>
                          <w:t xml:space="preserve">                    </w:t>
                        </w:r>
                        <w:r w:rsidRPr="00591852">
                          <w:rPr>
                            <w:sz w:val="16"/>
                            <w:szCs w:val="16"/>
                          </w:rPr>
                          <w:t xml:space="preserve">   1,944,444</w:t>
                        </w:r>
                      </w:p>
                      <w:p w:rsidR="00897146" w:rsidRPr="00591852" w:rsidRDefault="00897146" w:rsidP="008D768C">
                        <w:pPr>
                          <w:spacing w:line="240" w:lineRule="auto"/>
                          <w:rPr>
                            <w:sz w:val="16"/>
                            <w:szCs w:val="16"/>
                          </w:rPr>
                        </w:pPr>
                        <w:r w:rsidRPr="00591852">
                          <w:rPr>
                            <w:sz w:val="16"/>
                            <w:szCs w:val="16"/>
                          </w:rPr>
                          <w:tab/>
                        </w:r>
                        <w:r w:rsidRPr="00591852">
                          <w:rPr>
                            <w:sz w:val="16"/>
                            <w:szCs w:val="16"/>
                          </w:rPr>
                          <w:tab/>
                        </w:r>
                        <w:r w:rsidRPr="00591852">
                          <w:rPr>
                            <w:sz w:val="16"/>
                            <w:szCs w:val="16"/>
                          </w:rPr>
                          <w:tab/>
                        </w:r>
                        <w:r w:rsidRPr="00591852">
                          <w:rPr>
                            <w:sz w:val="16"/>
                            <w:szCs w:val="16"/>
                          </w:rPr>
                          <w:tab/>
                        </w:r>
                      </w:p>
                      <w:p w:rsidR="00897146" w:rsidRPr="00591852" w:rsidRDefault="00897146" w:rsidP="008D768C">
                        <w:pPr>
                          <w:spacing w:line="240" w:lineRule="auto"/>
                          <w:rPr>
                            <w:sz w:val="16"/>
                            <w:szCs w:val="16"/>
                          </w:rPr>
                        </w:pPr>
                        <w:r w:rsidRPr="00591852">
                          <w:rPr>
                            <w:sz w:val="16"/>
                            <w:szCs w:val="16"/>
                          </w:rPr>
                          <w:t>Supply</w:t>
                        </w:r>
                      </w:p>
                      <w:p w:rsidR="00897146" w:rsidRPr="00D66EC4" w:rsidRDefault="00897146" w:rsidP="00276D9C">
                        <w:pPr>
                          <w:spacing w:line="240" w:lineRule="auto"/>
                          <w:jc w:val="left"/>
                          <w:rPr>
                            <w:sz w:val="16"/>
                            <w:szCs w:val="16"/>
                            <w:u w:val="single"/>
                          </w:rPr>
                        </w:pPr>
                        <w:r w:rsidRPr="00591852">
                          <w:rPr>
                            <w:sz w:val="16"/>
                            <w:szCs w:val="16"/>
                          </w:rPr>
                          <w:tab/>
                          <w:t xml:space="preserve">Current Existing Class A Space (sf)    </w:t>
                        </w:r>
                        <w:r>
                          <w:rPr>
                            <w:sz w:val="16"/>
                            <w:szCs w:val="16"/>
                          </w:rPr>
                          <w:t xml:space="preserve">               (</w:t>
                        </w:r>
                        <w:r w:rsidRPr="00D66EC4">
                          <w:rPr>
                            <w:sz w:val="16"/>
                            <w:szCs w:val="16"/>
                            <w:u w:val="single"/>
                          </w:rPr>
                          <w:t>2,000,000</w:t>
                        </w:r>
                        <w:r>
                          <w:rPr>
                            <w:sz w:val="16"/>
                            <w:szCs w:val="16"/>
                            <w:u w:val="single"/>
                          </w:rPr>
                          <w:t>)</w:t>
                        </w:r>
                      </w:p>
                      <w:p w:rsidR="00897146" w:rsidRPr="00591852" w:rsidRDefault="00897146" w:rsidP="008D768C">
                        <w:pPr>
                          <w:spacing w:line="240" w:lineRule="auto"/>
                          <w:rPr>
                            <w:sz w:val="16"/>
                            <w:szCs w:val="16"/>
                          </w:rPr>
                        </w:pPr>
                      </w:p>
                      <w:p w:rsidR="00897146" w:rsidRPr="00591852" w:rsidRDefault="00897146" w:rsidP="008D768C">
                        <w:pPr>
                          <w:spacing w:line="240" w:lineRule="auto"/>
                          <w:rPr>
                            <w:sz w:val="16"/>
                            <w:szCs w:val="16"/>
                          </w:rPr>
                        </w:pPr>
                        <w:r w:rsidRPr="00591852">
                          <w:rPr>
                            <w:sz w:val="16"/>
                            <w:szCs w:val="16"/>
                          </w:rPr>
                          <w:t>Excess of Supply (sf)</w:t>
                        </w:r>
                        <w:r w:rsidRPr="00591852">
                          <w:rPr>
                            <w:sz w:val="16"/>
                            <w:szCs w:val="16"/>
                          </w:rPr>
                          <w:tab/>
                        </w:r>
                        <w:r>
                          <w:rPr>
                            <w:sz w:val="16"/>
                            <w:szCs w:val="16"/>
                          </w:rPr>
                          <w:t xml:space="preserve">  </w:t>
                        </w:r>
                        <w:r w:rsidRPr="00591852">
                          <w:rPr>
                            <w:sz w:val="16"/>
                            <w:szCs w:val="16"/>
                          </w:rPr>
                          <w:tab/>
                          <w:t xml:space="preserve">            </w:t>
                        </w:r>
                        <w:r>
                          <w:rPr>
                            <w:sz w:val="16"/>
                            <w:szCs w:val="16"/>
                          </w:rPr>
                          <w:t xml:space="preserve">                 </w:t>
                        </w:r>
                        <w:r w:rsidRPr="00591852">
                          <w:rPr>
                            <w:sz w:val="16"/>
                            <w:szCs w:val="16"/>
                          </w:rPr>
                          <w:t>55,556</w:t>
                        </w:r>
                      </w:p>
                    </w:txbxContent>
                  </v:textbox>
                </v:shape>
                <w10:wrap type="square"/>
              </v:group>
            </w:pict>
          </mc:Fallback>
        </mc:AlternateContent>
      </w:r>
      <w:r w:rsidR="006240B2">
        <w:t>Assume market research revealed that the local ma</w:t>
      </w:r>
      <w:r w:rsidR="00CF4FF2">
        <w:t xml:space="preserve">rket’s </w:t>
      </w:r>
      <w:r w:rsidR="00C22388">
        <w:t>equilibrium</w:t>
      </w:r>
      <w:r w:rsidR="00CF4FF2">
        <w:t xml:space="preserve"> vacancy rate </w:t>
      </w:r>
      <w:r w:rsidR="006240B2">
        <w:t xml:space="preserve">is 10% for Class A office space.   </w:t>
      </w:r>
      <w:r w:rsidR="00DA5D9B">
        <w:t>How this rate is applied will</w:t>
      </w:r>
      <w:r w:rsidR="006240B2">
        <w:t xml:space="preserve"> impact the results of a market study</w:t>
      </w:r>
      <w:r w:rsidR="008C4CAF">
        <w:t>.  Assume the following inputs result in the following calculations</w:t>
      </w:r>
      <w:r w:rsidR="0007335C">
        <w:t xml:space="preserve"> shown in Exhibits 6A and 6B</w:t>
      </w:r>
      <w:r w:rsidR="008C4CAF">
        <w:t>:</w:t>
      </w:r>
      <w:r w:rsidR="00D66EC4">
        <w:t xml:space="preserve"> </w:t>
      </w:r>
    </w:p>
    <w:p w:rsidR="0086058B" w:rsidRDefault="0086058B" w:rsidP="002B4318">
      <w:pPr>
        <w:rPr>
          <w:rFonts w:cs="Arial"/>
          <w:szCs w:val="22"/>
        </w:rPr>
      </w:pPr>
    </w:p>
    <w:p w:rsidR="002B4318" w:rsidRPr="009A55C7" w:rsidRDefault="002B4318" w:rsidP="002B4318">
      <w:pPr>
        <w:rPr>
          <w:rFonts w:cs="Arial"/>
          <w:szCs w:val="22"/>
        </w:rPr>
      </w:pPr>
      <w:r w:rsidRPr="009A55C7">
        <w:rPr>
          <w:rFonts w:cs="Arial"/>
          <w:szCs w:val="22"/>
        </w:rPr>
        <w:t xml:space="preserve">What is most striking about the comparison of </w:t>
      </w:r>
      <w:r w:rsidR="0007335C">
        <w:rPr>
          <w:rFonts w:cs="Arial"/>
          <w:szCs w:val="22"/>
        </w:rPr>
        <w:t>Exhibit 6</w:t>
      </w:r>
      <w:r w:rsidRPr="009A55C7">
        <w:rPr>
          <w:rFonts w:cs="Arial"/>
          <w:szCs w:val="22"/>
        </w:rPr>
        <w:t xml:space="preserve">A with </w:t>
      </w:r>
      <w:r w:rsidR="0007335C">
        <w:rPr>
          <w:rFonts w:cs="Arial"/>
          <w:szCs w:val="22"/>
        </w:rPr>
        <w:t>6</w:t>
      </w:r>
      <w:r w:rsidRPr="009A55C7">
        <w:rPr>
          <w:rFonts w:cs="Arial"/>
          <w:szCs w:val="22"/>
        </w:rPr>
        <w:t xml:space="preserve">B is not only the different amount of </w:t>
      </w:r>
      <w:r w:rsidR="00C22388">
        <w:rPr>
          <w:rFonts w:cs="Arial"/>
          <w:szCs w:val="22"/>
        </w:rPr>
        <w:t>equilibrium</w:t>
      </w:r>
      <w:r w:rsidRPr="009A55C7">
        <w:rPr>
          <w:rFonts w:cs="Arial"/>
          <w:szCs w:val="22"/>
        </w:rPr>
        <w:t xml:space="preserve"> vacancy </w:t>
      </w:r>
      <w:r w:rsidR="008C4CAF">
        <w:rPr>
          <w:rFonts w:cs="Arial"/>
          <w:szCs w:val="22"/>
        </w:rPr>
        <w:t>(</w:t>
      </w:r>
      <w:r w:rsidRPr="009A55C7">
        <w:rPr>
          <w:rFonts w:cs="Arial"/>
          <w:szCs w:val="22"/>
        </w:rPr>
        <w:t xml:space="preserve">even though the </w:t>
      </w:r>
      <w:r w:rsidR="00C41817">
        <w:rPr>
          <w:rFonts w:cs="Arial"/>
          <w:szCs w:val="22"/>
        </w:rPr>
        <w:t>equilibrium rate</w:t>
      </w:r>
      <w:r w:rsidRPr="009A55C7">
        <w:rPr>
          <w:rFonts w:cs="Arial"/>
          <w:szCs w:val="22"/>
        </w:rPr>
        <w:t xml:space="preserve"> is the same</w:t>
      </w:r>
      <w:r w:rsidR="008C4CAF">
        <w:rPr>
          <w:rFonts w:cs="Arial"/>
          <w:szCs w:val="22"/>
        </w:rPr>
        <w:t>)</w:t>
      </w:r>
      <w:r w:rsidRPr="009A55C7">
        <w:rPr>
          <w:rFonts w:cs="Arial"/>
          <w:szCs w:val="22"/>
        </w:rPr>
        <w:t xml:space="preserve">, but the difference in the marginal </w:t>
      </w:r>
      <w:r w:rsidR="00C41817">
        <w:rPr>
          <w:rFonts w:cs="Arial"/>
          <w:szCs w:val="22"/>
        </w:rPr>
        <w:t>results</w:t>
      </w:r>
      <w:r w:rsidRPr="009A55C7">
        <w:rPr>
          <w:rFonts w:cs="Arial"/>
          <w:szCs w:val="22"/>
        </w:rPr>
        <w:t>.  For a marke</w:t>
      </w:r>
      <w:r w:rsidR="0007335C">
        <w:rPr>
          <w:rFonts w:cs="Arial"/>
          <w:szCs w:val="22"/>
        </w:rPr>
        <w:t>t analyst, the results shown in 6</w:t>
      </w:r>
      <w:r w:rsidRPr="009A55C7">
        <w:rPr>
          <w:rFonts w:cs="Arial"/>
          <w:szCs w:val="22"/>
        </w:rPr>
        <w:t>A reveal 50,000 square feet of space must be absorbed</w:t>
      </w:r>
      <w:r w:rsidR="00C41817" w:rsidRPr="00C41817">
        <w:rPr>
          <w:rFonts w:cs="Arial"/>
          <w:szCs w:val="22"/>
        </w:rPr>
        <w:t xml:space="preserve"> </w:t>
      </w:r>
      <w:r w:rsidR="00C41817" w:rsidRPr="009A55C7">
        <w:rPr>
          <w:rFonts w:cs="Arial"/>
          <w:szCs w:val="22"/>
        </w:rPr>
        <w:t>for m</w:t>
      </w:r>
      <w:r w:rsidR="0007335C">
        <w:rPr>
          <w:rFonts w:cs="Arial"/>
          <w:szCs w:val="22"/>
        </w:rPr>
        <w:t>arket equilibrium to be reached.</w:t>
      </w:r>
      <w:r w:rsidRPr="009A55C7">
        <w:rPr>
          <w:rFonts w:cs="Arial"/>
          <w:szCs w:val="22"/>
        </w:rPr>
        <w:t xml:space="preserve">  This result can be obtained from </w:t>
      </w:r>
      <w:r w:rsidR="0007335C">
        <w:rPr>
          <w:rFonts w:cs="Arial"/>
          <w:szCs w:val="22"/>
        </w:rPr>
        <w:t>6</w:t>
      </w:r>
      <w:r w:rsidRPr="009A55C7">
        <w:rPr>
          <w:rFonts w:cs="Arial"/>
          <w:szCs w:val="22"/>
        </w:rPr>
        <w:t xml:space="preserve"> </w:t>
      </w:r>
      <w:r w:rsidRPr="009A55C7">
        <w:rPr>
          <w:rFonts w:cs="Arial"/>
          <w:szCs w:val="22"/>
        </w:rPr>
        <w:lastRenderedPageBreak/>
        <w:t xml:space="preserve">B, but only </w:t>
      </w:r>
      <w:r w:rsidR="00263143">
        <w:rPr>
          <w:rFonts w:cs="Arial"/>
          <w:szCs w:val="22"/>
        </w:rPr>
        <w:t xml:space="preserve">by </w:t>
      </w:r>
      <w:r w:rsidRPr="009A55C7">
        <w:rPr>
          <w:rFonts w:cs="Arial"/>
          <w:szCs w:val="22"/>
        </w:rPr>
        <w:t xml:space="preserve">multiplying the marginal </w:t>
      </w:r>
      <w:r w:rsidR="00C41817">
        <w:rPr>
          <w:rFonts w:cs="Arial"/>
          <w:szCs w:val="22"/>
        </w:rPr>
        <w:t xml:space="preserve">supply </w:t>
      </w:r>
      <w:r w:rsidRPr="009A55C7">
        <w:rPr>
          <w:rFonts w:cs="Arial"/>
          <w:szCs w:val="22"/>
        </w:rPr>
        <w:t>amount by</w:t>
      </w:r>
      <w:r w:rsidR="00C41817">
        <w:rPr>
          <w:rFonts w:cs="Arial"/>
          <w:szCs w:val="22"/>
        </w:rPr>
        <w:t xml:space="preserve"> the reciprocal of the equilibrium rate</w:t>
      </w:r>
      <w:r w:rsidRPr="009A55C7">
        <w:rPr>
          <w:rFonts w:cs="Arial"/>
          <w:szCs w:val="22"/>
        </w:rPr>
        <w:t xml:space="preserve"> (1 – </w:t>
      </w:r>
      <w:r w:rsidR="00C22388">
        <w:rPr>
          <w:rFonts w:cs="Arial"/>
          <w:szCs w:val="22"/>
        </w:rPr>
        <w:t>Equilibrium</w:t>
      </w:r>
      <w:r w:rsidRPr="009A55C7">
        <w:rPr>
          <w:rFonts w:cs="Arial"/>
          <w:szCs w:val="22"/>
        </w:rPr>
        <w:t xml:space="preserve"> Vacancy Rate). </w:t>
      </w:r>
      <w:r w:rsidR="00C41817">
        <w:rPr>
          <w:rFonts w:cs="Arial"/>
          <w:szCs w:val="22"/>
        </w:rPr>
        <w:t>W</w:t>
      </w:r>
      <w:r w:rsidRPr="009A55C7">
        <w:rPr>
          <w:rFonts w:cs="Arial"/>
          <w:szCs w:val="22"/>
        </w:rPr>
        <w:t xml:space="preserve">ithout taking </w:t>
      </w:r>
      <w:r w:rsidR="00C41817">
        <w:rPr>
          <w:rFonts w:cs="Arial"/>
          <w:szCs w:val="22"/>
        </w:rPr>
        <w:t>this extra step</w:t>
      </w:r>
      <w:r w:rsidRPr="009A55C7">
        <w:rPr>
          <w:rFonts w:cs="Arial"/>
          <w:szCs w:val="22"/>
        </w:rPr>
        <w:t xml:space="preserve">, the marginal number represents the amount of supply (55,556 sf) that must be eliminated in order to achieve market equilibrium. Interestingly, even though the calculations are different in </w:t>
      </w:r>
      <w:r w:rsidR="0007335C">
        <w:rPr>
          <w:rFonts w:cs="Arial"/>
          <w:szCs w:val="22"/>
        </w:rPr>
        <w:t>6</w:t>
      </w:r>
      <w:r w:rsidRPr="009A55C7">
        <w:rPr>
          <w:rFonts w:cs="Arial"/>
          <w:szCs w:val="22"/>
        </w:rPr>
        <w:t xml:space="preserve">B, </w:t>
      </w:r>
      <w:r w:rsidR="00C4645A">
        <w:rPr>
          <w:rFonts w:cs="Arial"/>
          <w:szCs w:val="22"/>
        </w:rPr>
        <w:t xml:space="preserve">if supply remains static, </w:t>
      </w:r>
      <w:r w:rsidRPr="009A55C7">
        <w:rPr>
          <w:rFonts w:cs="Arial"/>
          <w:szCs w:val="22"/>
        </w:rPr>
        <w:t xml:space="preserve">the market nonetheless must absorb 50,000 square feet of space to get to equilibrium and thus </w:t>
      </w:r>
      <w:r w:rsidR="00C22388">
        <w:rPr>
          <w:rFonts w:cs="Arial"/>
          <w:szCs w:val="22"/>
        </w:rPr>
        <w:t>equilibrium</w:t>
      </w:r>
      <w:r w:rsidRPr="009A55C7">
        <w:rPr>
          <w:rFonts w:cs="Arial"/>
          <w:szCs w:val="22"/>
        </w:rPr>
        <w:t xml:space="preserve"> vacancy is actually 200,000 square feet, as calculated in </w:t>
      </w:r>
      <w:r w:rsidR="0007335C">
        <w:rPr>
          <w:rFonts w:cs="Arial"/>
          <w:szCs w:val="22"/>
        </w:rPr>
        <w:t>6</w:t>
      </w:r>
      <w:r w:rsidRPr="009A55C7">
        <w:rPr>
          <w:rFonts w:cs="Arial"/>
          <w:szCs w:val="22"/>
        </w:rPr>
        <w:t>A.</w:t>
      </w:r>
    </w:p>
    <w:p w:rsidR="00C4645A" w:rsidRPr="00C3130E" w:rsidRDefault="00591852" w:rsidP="00C4645A">
      <w:pPr>
        <w:rPr>
          <w:b/>
        </w:rPr>
      </w:pPr>
      <w:r>
        <w:br/>
      </w:r>
      <w:r w:rsidR="0007335C">
        <w:rPr>
          <w:b/>
        </w:rPr>
        <w:t>Valuation Implications</w:t>
      </w:r>
    </w:p>
    <w:p w:rsidR="00276D9C" w:rsidRDefault="00276D9C" w:rsidP="00C4645A"/>
    <w:p w:rsidR="00CB0278" w:rsidRDefault="00C4645A" w:rsidP="00C4645A">
      <w:r>
        <w:t>Consider an office building that is 80% occupied in a market that is also 80% occupied. Suppose the results of a formal market analysis reveals that the market will grow to 95% occupancy in a linear manner over a five year forecast period</w:t>
      </w:r>
      <w:r w:rsidR="00CB0278">
        <w:t xml:space="preserve">, demand growing </w:t>
      </w:r>
      <w:r w:rsidR="00897146">
        <w:t xml:space="preserve">at </w:t>
      </w:r>
      <w:r w:rsidR="00CB0278">
        <w:t>3% year</w:t>
      </w:r>
      <w:r>
        <w:t xml:space="preserve">.  The equilibrium vacancy rate for this market has been determined to be 90%.  </w:t>
      </w:r>
      <w:r w:rsidR="00CB0278">
        <w:t xml:space="preserve">Even though demand is expected to be positive from day one of the forecast period, rent increases should not be expected before the third year, when vacancy should be approaching the equilibrium rate.  Guidance on the strength of the increase can be gained by studying past occurrences in the market.  </w:t>
      </w:r>
      <w:r w:rsidR="00C2110B">
        <w:t>For example</w:t>
      </w:r>
      <w:r w:rsidR="00CB0278">
        <w:t>, Chicago most recently triggered a</w:t>
      </w:r>
      <w:r w:rsidR="00C2110B">
        <w:t xml:space="preserve"> significant</w:t>
      </w:r>
      <w:r w:rsidR="00CB0278">
        <w:t xml:space="preserve"> upward movement in rents in the 1st quarter 2007.  </w:t>
      </w:r>
      <w:r w:rsidR="00960EB0">
        <w:t xml:space="preserve"> See Exhibit 7 below.  </w:t>
      </w:r>
      <w:r w:rsidR="00CB0278">
        <w:t xml:space="preserve">The growth continued for </w:t>
      </w:r>
      <w:r w:rsidR="005E36A9">
        <w:t>10 quarters</w:t>
      </w:r>
      <w:r w:rsidR="00CB0278">
        <w:t>, and totaled about</w:t>
      </w:r>
      <w:r w:rsidR="005E36A9">
        <w:t xml:space="preserve"> 11% growth in rents, or about 4.5% per year.   </w:t>
      </w:r>
    </w:p>
    <w:p w:rsidR="00CB0278" w:rsidRDefault="00897146" w:rsidP="00C4645A">
      <w:r>
        <w:rPr>
          <w:noProof/>
        </w:rPr>
        <w:drawing>
          <wp:anchor distT="0" distB="0" distL="114300" distR="114300" simplePos="0" relativeHeight="251730944" behindDoc="0" locked="0" layoutInCell="1" allowOverlap="1">
            <wp:simplePos x="0" y="0"/>
            <wp:positionH relativeFrom="column">
              <wp:posOffset>504825</wp:posOffset>
            </wp:positionH>
            <wp:positionV relativeFrom="paragraph">
              <wp:posOffset>50800</wp:posOffset>
            </wp:positionV>
            <wp:extent cx="5451475" cy="4171950"/>
            <wp:effectExtent l="0" t="0" r="0" b="0"/>
            <wp:wrapSquare wrapText="bothSides"/>
            <wp:docPr id="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srcRect/>
                    <a:stretch>
                      <a:fillRect/>
                    </a:stretch>
                  </pic:blipFill>
                  <pic:spPr bwMode="auto">
                    <a:xfrm>
                      <a:off x="0" y="0"/>
                      <a:ext cx="5451475" cy="4171950"/>
                    </a:xfrm>
                    <a:prstGeom prst="rect">
                      <a:avLst/>
                    </a:prstGeom>
                    <a:noFill/>
                  </pic:spPr>
                </pic:pic>
              </a:graphicData>
            </a:graphic>
            <wp14:sizeRelH relativeFrom="margin">
              <wp14:pctWidth>0</wp14:pctWidth>
            </wp14:sizeRelH>
            <wp14:sizeRelV relativeFrom="margin">
              <wp14:pctHeight>0</wp14:pctHeight>
            </wp14:sizeRelV>
          </wp:anchor>
        </w:drawing>
      </w: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897146" w:rsidRDefault="00897146" w:rsidP="00C4645A">
      <w:pPr>
        <w:rPr>
          <w:b/>
        </w:rPr>
      </w:pPr>
    </w:p>
    <w:p w:rsidR="00C2110B" w:rsidRDefault="00467F85" w:rsidP="00C2110B">
      <w:r>
        <w:t>Financial feasibility is often associated with market</w:t>
      </w:r>
      <w:r w:rsidR="00C2110B">
        <w:t xml:space="preserve"> equilibrium</w:t>
      </w:r>
      <w:r>
        <w:t xml:space="preserve">; that is, a market in equilibrium is presumed to be able to justify new construction.  It is probably more accurate to say that </w:t>
      </w:r>
      <w:r w:rsidR="00B62ADF">
        <w:t>a market vacancy rate above the equilibrium rate is strong indicator of a lack of</w:t>
      </w:r>
      <w:r w:rsidR="00C2110B">
        <w:t xml:space="preserve"> financial feasibility</w:t>
      </w:r>
      <w:r w:rsidR="00B62ADF">
        <w:t xml:space="preserve"> and possibly external obsolescence</w:t>
      </w:r>
      <w:r>
        <w:t>.</w:t>
      </w:r>
      <w:r w:rsidR="00AE6851">
        <w:t xml:space="preserve">  Of course, the financially feasibility of any one property must be determined on an individual basis, but inferences can be drawn from market conditions,  </w:t>
      </w:r>
      <w:r w:rsidR="00D93638">
        <w:t>M</w:t>
      </w:r>
      <w:r w:rsidR="00AE6851">
        <w:t>arket conditions such as increasing rents, sales, and leasing activity</w:t>
      </w:r>
      <w:r w:rsidR="00D93638">
        <w:t>,</w:t>
      </w:r>
      <w:r w:rsidR="00AE6851">
        <w:t xml:space="preserve">  are often associated with demand in excess of market equilibrium, and thus a disequilibrium condition.</w:t>
      </w:r>
    </w:p>
    <w:p w:rsidR="000C1B59" w:rsidRDefault="000C1B59" w:rsidP="00314564"/>
    <w:p w:rsidR="007D0BBE" w:rsidRDefault="000C1B59" w:rsidP="000C1B59">
      <w:r>
        <w:t xml:space="preserve">The appraisal literature generally avoids any discussion of stabilized occupancy for a market, focusing instead on the stabilized occupancy of a property.  Consequently, frictional vacancy has often been identified as the vacancy defining a stable market.  If a stable market is one with stable rental rates, then clearly equilibrium vacancy is the necessary ingredient.  If a stable market is one that may be characterized by fluctuations in both rent and vacancy, but </w:t>
      </w:r>
      <w:r w:rsidR="009A3FEB">
        <w:t xml:space="preserve">one that over time tends to return to equilibrium, then long run average market occupancy is represented by the </w:t>
      </w:r>
      <w:r w:rsidR="00960EB0">
        <w:t>residual</w:t>
      </w:r>
      <w:r w:rsidR="009A3FEB">
        <w:t xml:space="preserve"> of equilibrium vacancy</w:t>
      </w:r>
      <w:r w:rsidR="00960EB0">
        <w:t xml:space="preserve"> from 100 percent</w:t>
      </w:r>
      <w:r w:rsidR="009A3FEB">
        <w:t>.</w:t>
      </w:r>
    </w:p>
    <w:p w:rsidR="009A3FEB" w:rsidRDefault="009A3FEB" w:rsidP="000C1B59">
      <w:pPr>
        <w:rPr>
          <w:b/>
        </w:rPr>
      </w:pPr>
    </w:p>
    <w:p w:rsidR="005B7221" w:rsidRPr="00D42A40" w:rsidRDefault="00D42A40" w:rsidP="00314564">
      <w:pPr>
        <w:rPr>
          <w:b/>
        </w:rPr>
      </w:pPr>
      <w:r>
        <w:rPr>
          <w:b/>
        </w:rPr>
        <w:t>Conclusions</w:t>
      </w:r>
    </w:p>
    <w:p w:rsidR="00B507DE" w:rsidRDefault="00B507DE" w:rsidP="00314564">
      <w:pPr>
        <w:rPr>
          <w:rFonts w:cs="Arial"/>
          <w:szCs w:val="22"/>
        </w:rPr>
      </w:pPr>
    </w:p>
    <w:p w:rsidR="00040F66" w:rsidRDefault="00040F66" w:rsidP="00040F66">
      <w:pPr>
        <w:rPr>
          <w:rFonts w:cs="Arial"/>
          <w:szCs w:val="22"/>
        </w:rPr>
      </w:pPr>
      <w:r>
        <w:rPr>
          <w:rFonts w:cs="Arial"/>
          <w:szCs w:val="22"/>
        </w:rPr>
        <w:t xml:space="preserve">Vacancy can and does significantly influence </w:t>
      </w:r>
      <w:r w:rsidRPr="009A55C7">
        <w:rPr>
          <w:rFonts w:cs="Arial"/>
          <w:szCs w:val="22"/>
        </w:rPr>
        <w:t>rent changes</w:t>
      </w:r>
      <w:r>
        <w:rPr>
          <w:rFonts w:cs="Arial"/>
          <w:szCs w:val="22"/>
        </w:rPr>
        <w:t xml:space="preserve">.  </w:t>
      </w:r>
      <w:r w:rsidRPr="008C4CAF">
        <w:rPr>
          <w:rFonts w:cs="Arial"/>
          <w:szCs w:val="22"/>
        </w:rPr>
        <w:t>Given that stable rents are a characteristic of market equilib</w:t>
      </w:r>
      <w:r>
        <w:rPr>
          <w:rFonts w:cs="Arial"/>
          <w:szCs w:val="22"/>
        </w:rPr>
        <w:t>rium, it follows that there must be some level of v</w:t>
      </w:r>
      <w:r w:rsidRPr="009A55C7">
        <w:rPr>
          <w:rFonts w:cs="Arial"/>
          <w:szCs w:val="22"/>
        </w:rPr>
        <w:t xml:space="preserve">acancy </w:t>
      </w:r>
      <w:r>
        <w:rPr>
          <w:rFonts w:cs="Arial"/>
          <w:szCs w:val="22"/>
        </w:rPr>
        <w:t>– the equilibrium vacancy rate</w:t>
      </w:r>
      <w:r w:rsidRPr="009A55C7">
        <w:rPr>
          <w:rFonts w:cs="Arial"/>
          <w:szCs w:val="22"/>
        </w:rPr>
        <w:t xml:space="preserve"> </w:t>
      </w:r>
      <w:r>
        <w:rPr>
          <w:rFonts w:cs="Arial"/>
          <w:szCs w:val="22"/>
        </w:rPr>
        <w:t>– that</w:t>
      </w:r>
      <w:r w:rsidRPr="009A55C7">
        <w:rPr>
          <w:rFonts w:cs="Arial"/>
          <w:szCs w:val="22"/>
        </w:rPr>
        <w:t xml:space="preserve"> </w:t>
      </w:r>
      <w:r>
        <w:rPr>
          <w:rFonts w:cs="Arial"/>
          <w:szCs w:val="22"/>
        </w:rPr>
        <w:t xml:space="preserve">produces stable rents.  Vacancy in excess of this rate will produce downward pressure on rents; vacancy of less than this rate will produce upward pressure on rents.  </w:t>
      </w:r>
    </w:p>
    <w:p w:rsidR="00040F66" w:rsidRDefault="00040F66" w:rsidP="00040F66">
      <w:pPr>
        <w:rPr>
          <w:rFonts w:cs="Arial"/>
          <w:szCs w:val="22"/>
        </w:rPr>
      </w:pPr>
    </w:p>
    <w:p w:rsidR="00040F66" w:rsidRDefault="00040F66" w:rsidP="002B4318">
      <w:pPr>
        <w:rPr>
          <w:rFonts w:cs="Arial"/>
          <w:szCs w:val="22"/>
        </w:rPr>
      </w:pPr>
      <w:r>
        <w:rPr>
          <w:rFonts w:cs="Arial"/>
          <w:szCs w:val="22"/>
        </w:rPr>
        <w:t xml:space="preserve">We observe significant variations in equilibrium vacancy rates by market.   </w:t>
      </w:r>
      <w:r w:rsidRPr="00040F66">
        <w:rPr>
          <w:rFonts w:cs="Arial"/>
          <w:szCs w:val="22"/>
        </w:rPr>
        <w:t xml:space="preserve">Most analysts would consider that a 20% </w:t>
      </w:r>
      <w:r>
        <w:rPr>
          <w:rFonts w:cs="Arial"/>
          <w:szCs w:val="22"/>
        </w:rPr>
        <w:t xml:space="preserve">office </w:t>
      </w:r>
      <w:r w:rsidRPr="00040F66">
        <w:rPr>
          <w:rFonts w:cs="Arial"/>
          <w:szCs w:val="22"/>
        </w:rPr>
        <w:t xml:space="preserve">vacancy rate indicates a market in distress.  Yet, this research has shown that a 20% vacancy rate in Class A office space for the Dallas market approximates equilibrium.  For the Atlanta Class </w:t>
      </w:r>
      <w:proofErr w:type="gramStart"/>
      <w:r w:rsidRPr="00040F66">
        <w:rPr>
          <w:rFonts w:cs="Arial"/>
          <w:szCs w:val="22"/>
        </w:rPr>
        <w:t>A</w:t>
      </w:r>
      <w:proofErr w:type="gramEnd"/>
      <w:r w:rsidRPr="00040F66">
        <w:rPr>
          <w:rFonts w:cs="Arial"/>
          <w:szCs w:val="22"/>
        </w:rPr>
        <w:t xml:space="preserve"> office market, the equilibrium vacancy rate is about 15%, much greater than most analysts would consider to be a healthy rate.</w:t>
      </w:r>
    </w:p>
    <w:p w:rsidR="00040F66" w:rsidRDefault="00040F66" w:rsidP="002B4318">
      <w:pPr>
        <w:rPr>
          <w:rFonts w:cs="Arial"/>
          <w:szCs w:val="22"/>
        </w:rPr>
      </w:pPr>
    </w:p>
    <w:p w:rsidR="008D453C" w:rsidRDefault="00D202ED" w:rsidP="002B4318">
      <w:pPr>
        <w:rPr>
          <w:rFonts w:cs="Arial"/>
          <w:szCs w:val="22"/>
        </w:rPr>
      </w:pPr>
      <w:r w:rsidRPr="00D93638">
        <w:rPr>
          <w:rFonts w:cs="Arial"/>
          <w:szCs w:val="22"/>
        </w:rPr>
        <w:t xml:space="preserve">The equilibrium vacancy rate hypothesis is not in conflict with the presence of frictional vacancy. Accepting frictional vacancy as a necessary component only changes the numbers, not the relationship.  For example, if frictional vacancy is assumed to be 5%, then demand equaling </w:t>
      </w:r>
      <w:r w:rsidRPr="00D93638">
        <w:rPr>
          <w:rFonts w:cs="Arial"/>
          <w:szCs w:val="22"/>
        </w:rPr>
        <w:lastRenderedPageBreak/>
        <w:t xml:space="preserve">supply becomes 95% occupancy.   </w:t>
      </w:r>
      <w:r w:rsidR="008D453C" w:rsidRPr="008C4CAF">
        <w:rPr>
          <w:rFonts w:cs="Arial"/>
          <w:szCs w:val="22"/>
        </w:rPr>
        <w:t xml:space="preserve">Because </w:t>
      </w:r>
      <w:r w:rsidR="00C56268">
        <w:rPr>
          <w:rFonts w:cs="Arial"/>
          <w:szCs w:val="22"/>
        </w:rPr>
        <w:t>search, contracting,</w:t>
      </w:r>
      <w:r w:rsidR="008D453C" w:rsidRPr="008C4CAF">
        <w:rPr>
          <w:rFonts w:cs="Arial"/>
          <w:szCs w:val="22"/>
        </w:rPr>
        <w:t xml:space="preserve"> </w:t>
      </w:r>
      <w:r w:rsidR="00C56268">
        <w:rPr>
          <w:rFonts w:cs="Arial"/>
          <w:szCs w:val="22"/>
        </w:rPr>
        <w:t xml:space="preserve">and moving costs </w:t>
      </w:r>
      <w:r w:rsidR="008D453C" w:rsidRPr="008C4CAF">
        <w:rPr>
          <w:rFonts w:cs="Arial"/>
          <w:szCs w:val="22"/>
        </w:rPr>
        <w:t xml:space="preserve">cause </w:t>
      </w:r>
      <w:r w:rsidR="00C56268">
        <w:rPr>
          <w:rFonts w:cs="Arial"/>
          <w:szCs w:val="22"/>
        </w:rPr>
        <w:t xml:space="preserve">some </w:t>
      </w:r>
      <w:r w:rsidR="008D453C" w:rsidRPr="008C4CAF">
        <w:rPr>
          <w:rFonts w:cs="Arial"/>
          <w:szCs w:val="22"/>
        </w:rPr>
        <w:t xml:space="preserve">vacancy in every market, </w:t>
      </w:r>
      <w:r w:rsidR="008D453C">
        <w:rPr>
          <w:rFonts w:cs="Arial"/>
          <w:szCs w:val="22"/>
        </w:rPr>
        <w:t xml:space="preserve">a portion of the vacancy of the equilibrium condition is most certainly associated with friction.  </w:t>
      </w:r>
    </w:p>
    <w:p w:rsidR="00F10AC1" w:rsidRPr="009A55C7" w:rsidRDefault="00F10AC1" w:rsidP="002B4318">
      <w:pPr>
        <w:rPr>
          <w:rFonts w:cs="Arial"/>
          <w:szCs w:val="22"/>
        </w:rPr>
      </w:pPr>
    </w:p>
    <w:p w:rsidR="00D93638" w:rsidRPr="009A637A" w:rsidRDefault="00D93638" w:rsidP="00D93638">
      <w:r w:rsidRPr="00D93638">
        <w:t xml:space="preserve">Research reviewed in this </w:t>
      </w:r>
      <w:r>
        <w:t>paper</w:t>
      </w:r>
      <w:r w:rsidRPr="00D93638">
        <w:t xml:space="preserve"> is convincing that vacancy influences rental rates.  Market observation, however, indicates that rental rates also influence vacancy.  At a fundamental level, both rents and vacancy are responsive to economic demand for space.  Demand absorbs vacant space to the point that rents are driven up, which stimulates new construction, which may drive average rents up (due to premium charged for new space) or down (due to an oversupply).  This type of interrelationship can produce a small R</w:t>
      </w:r>
      <w:r w:rsidRPr="00D93638">
        <w:rPr>
          <w:vertAlign w:val="superscript"/>
        </w:rPr>
        <w:t>2</w:t>
      </w:r>
      <w:r w:rsidRPr="00D93638">
        <w:t>, but one that is nonetheless significant (at the 5% level).  This suggests that the vacancy rate plays a significant role in rent changes.  This role may become more prominent as the vacancy rate distances itself from the equilibrium level. The research could be skewed in this direction since the further away from equilibrium the vacancy rate gets, the less likely concessions are to mask changes in face rent.</w:t>
      </w:r>
    </w:p>
    <w:p w:rsidR="00D93638" w:rsidRDefault="00D93638" w:rsidP="002B4318">
      <w:pPr>
        <w:rPr>
          <w:rFonts w:cs="Arial"/>
          <w:szCs w:val="22"/>
        </w:rPr>
      </w:pPr>
    </w:p>
    <w:p w:rsidR="00F10AC1" w:rsidRDefault="00D93638" w:rsidP="002B4318">
      <w:pPr>
        <w:rPr>
          <w:rFonts w:cs="Arial"/>
          <w:szCs w:val="22"/>
        </w:rPr>
      </w:pPr>
      <w:r>
        <w:rPr>
          <w:rFonts w:cs="Arial"/>
          <w:szCs w:val="22"/>
        </w:rPr>
        <w:t>Our</w:t>
      </w:r>
      <w:r w:rsidR="009B0A6D">
        <w:rPr>
          <w:rFonts w:cs="Arial"/>
          <w:szCs w:val="22"/>
        </w:rPr>
        <w:t xml:space="preserve"> research </w:t>
      </w:r>
      <w:r w:rsidR="00C56268">
        <w:rPr>
          <w:rFonts w:cs="Arial"/>
          <w:szCs w:val="22"/>
        </w:rPr>
        <w:t xml:space="preserve">utilized </w:t>
      </w:r>
      <w:r w:rsidR="00F10AC1">
        <w:rPr>
          <w:rFonts w:cs="Arial"/>
          <w:szCs w:val="22"/>
        </w:rPr>
        <w:t>three methods of extracting an equilibrium vacancy rate on a representative sample of nine Class A office markets.</w:t>
      </w:r>
      <w:r>
        <w:rPr>
          <w:rFonts w:cs="Arial"/>
          <w:szCs w:val="22"/>
        </w:rPr>
        <w:t xml:space="preserve"> </w:t>
      </w:r>
      <w:r w:rsidR="00F10AC1">
        <w:rPr>
          <w:rFonts w:cs="Arial"/>
          <w:szCs w:val="22"/>
        </w:rPr>
        <w:t xml:space="preserve"> We conclude that an equilibrium rate is reliably and easily extracted from a market by simply determining the market’s mean vacancy rate over an extended period of time.  </w:t>
      </w:r>
      <w:r w:rsidR="008D0B34">
        <w:rPr>
          <w:rFonts w:cs="Arial"/>
          <w:szCs w:val="22"/>
        </w:rPr>
        <w:t xml:space="preserve">Although we agree that inflationary/deflationary pressure on rents can cause market-wide movement, this issue and others are avoided by relying on the mean vacancy rate for an indication of the market’s equilibrium rate. </w:t>
      </w:r>
    </w:p>
    <w:p w:rsidR="00F10AC1" w:rsidRDefault="00F10AC1" w:rsidP="002B4318">
      <w:pPr>
        <w:rPr>
          <w:rFonts w:cs="Arial"/>
          <w:szCs w:val="22"/>
        </w:rPr>
      </w:pPr>
    </w:p>
    <w:p w:rsidR="00040F66" w:rsidRDefault="00011A61" w:rsidP="00314564">
      <w:pPr>
        <w:rPr>
          <w:rFonts w:cs="Arial"/>
          <w:szCs w:val="22"/>
        </w:rPr>
      </w:pPr>
      <w:r>
        <w:rPr>
          <w:rFonts w:cs="Arial"/>
          <w:szCs w:val="22"/>
        </w:rPr>
        <w:t>Knowledge of e</w:t>
      </w:r>
      <w:r w:rsidR="00EE46D6">
        <w:rPr>
          <w:rFonts w:cs="Arial"/>
          <w:szCs w:val="22"/>
        </w:rPr>
        <w:t>quilibrium vacancy is a</w:t>
      </w:r>
      <w:r>
        <w:rPr>
          <w:rFonts w:cs="Arial"/>
          <w:szCs w:val="22"/>
        </w:rPr>
        <w:t xml:space="preserve"> valuable </w:t>
      </w:r>
      <w:r w:rsidR="00F10AC1">
        <w:rPr>
          <w:rFonts w:cs="Arial"/>
          <w:szCs w:val="22"/>
        </w:rPr>
        <w:t>component of</w:t>
      </w:r>
      <w:r w:rsidR="00EE46D6">
        <w:rPr>
          <w:rFonts w:cs="Arial"/>
          <w:szCs w:val="22"/>
        </w:rPr>
        <w:t xml:space="preserve"> market analysis and valuation.  </w:t>
      </w:r>
      <w:r w:rsidR="00F10AC1">
        <w:rPr>
          <w:rFonts w:cs="Arial"/>
          <w:szCs w:val="22"/>
        </w:rPr>
        <w:t xml:space="preserve">Furthermore, </w:t>
      </w:r>
      <w:r w:rsidR="002B4318">
        <w:rPr>
          <w:rFonts w:cs="Arial"/>
          <w:szCs w:val="22"/>
        </w:rPr>
        <w:t>on</w:t>
      </w:r>
      <w:r w:rsidR="002B4318" w:rsidRPr="009A55C7">
        <w:rPr>
          <w:rFonts w:cs="Arial"/>
          <w:szCs w:val="22"/>
        </w:rPr>
        <w:t xml:space="preserve">ce </w:t>
      </w:r>
      <w:r w:rsidR="002B4318">
        <w:rPr>
          <w:rFonts w:cs="Arial"/>
          <w:szCs w:val="22"/>
        </w:rPr>
        <w:t>a</w:t>
      </w:r>
      <w:r w:rsidR="00C22388">
        <w:rPr>
          <w:rFonts w:cs="Arial"/>
          <w:szCs w:val="22"/>
        </w:rPr>
        <w:t>n equilibrium</w:t>
      </w:r>
      <w:r w:rsidR="002B4318" w:rsidRPr="009A55C7">
        <w:rPr>
          <w:rFonts w:cs="Arial"/>
          <w:szCs w:val="22"/>
        </w:rPr>
        <w:t xml:space="preserve"> vacancy rate is </w:t>
      </w:r>
      <w:r w:rsidR="00EE46D6">
        <w:rPr>
          <w:rFonts w:cs="Arial"/>
          <w:szCs w:val="22"/>
        </w:rPr>
        <w:t>identified in a market</w:t>
      </w:r>
      <w:r w:rsidR="00F10AC1">
        <w:rPr>
          <w:rFonts w:cs="Arial"/>
          <w:szCs w:val="22"/>
        </w:rPr>
        <w:t xml:space="preserve">, </w:t>
      </w:r>
      <w:r w:rsidR="00EE46D6">
        <w:rPr>
          <w:rFonts w:cs="Arial"/>
          <w:szCs w:val="22"/>
        </w:rPr>
        <w:t xml:space="preserve">it </w:t>
      </w:r>
      <w:r w:rsidR="00F10AC1">
        <w:rPr>
          <w:rFonts w:cs="Arial"/>
          <w:szCs w:val="22"/>
        </w:rPr>
        <w:t>should be applied as extracted – against existing</w:t>
      </w:r>
      <w:r w:rsidR="00EE46D6">
        <w:rPr>
          <w:rFonts w:cs="Arial"/>
          <w:szCs w:val="22"/>
        </w:rPr>
        <w:t xml:space="preserve"> and </w:t>
      </w:r>
      <w:r w:rsidR="00F10AC1">
        <w:rPr>
          <w:rFonts w:cs="Arial"/>
          <w:szCs w:val="22"/>
        </w:rPr>
        <w:t xml:space="preserve">forecasted supply. </w:t>
      </w:r>
      <w:r w:rsidR="009B0A6D">
        <w:rPr>
          <w:rFonts w:cs="Arial"/>
          <w:szCs w:val="22"/>
        </w:rPr>
        <w:t xml:space="preserve"> Doing so </w:t>
      </w:r>
      <w:r w:rsidR="002B4318" w:rsidRPr="009A55C7">
        <w:rPr>
          <w:rFonts w:cs="Arial"/>
          <w:szCs w:val="22"/>
        </w:rPr>
        <w:t>assure</w:t>
      </w:r>
      <w:r w:rsidR="009B0A6D">
        <w:rPr>
          <w:rFonts w:cs="Arial"/>
          <w:szCs w:val="22"/>
        </w:rPr>
        <w:t>s</w:t>
      </w:r>
      <w:r w:rsidR="002B4318" w:rsidRPr="009A55C7">
        <w:rPr>
          <w:rFonts w:cs="Arial"/>
          <w:szCs w:val="22"/>
        </w:rPr>
        <w:t xml:space="preserve"> the correct </w:t>
      </w:r>
      <w:r w:rsidR="0086058B">
        <w:rPr>
          <w:rFonts w:cs="Arial"/>
          <w:szCs w:val="22"/>
        </w:rPr>
        <w:t xml:space="preserve">understanding of a market’s </w:t>
      </w:r>
      <w:r>
        <w:rPr>
          <w:rFonts w:cs="Arial"/>
          <w:szCs w:val="22"/>
        </w:rPr>
        <w:t xml:space="preserve">current </w:t>
      </w:r>
      <w:r w:rsidR="0086058B">
        <w:rPr>
          <w:rFonts w:cs="Arial"/>
          <w:szCs w:val="22"/>
        </w:rPr>
        <w:t xml:space="preserve">relationship to </w:t>
      </w:r>
      <w:r>
        <w:rPr>
          <w:rFonts w:cs="Arial"/>
          <w:szCs w:val="22"/>
        </w:rPr>
        <w:t xml:space="preserve">that of the long term </w:t>
      </w:r>
      <w:r w:rsidR="0086058B">
        <w:rPr>
          <w:rFonts w:cs="Arial"/>
          <w:szCs w:val="22"/>
        </w:rPr>
        <w:t>equilibrium</w:t>
      </w:r>
      <w:r>
        <w:rPr>
          <w:rFonts w:cs="Arial"/>
          <w:szCs w:val="22"/>
        </w:rPr>
        <w:t xml:space="preserve"> we are often told we are moving towards</w:t>
      </w:r>
      <w:r w:rsidR="002B4318" w:rsidRPr="009A55C7">
        <w:rPr>
          <w:rFonts w:cs="Arial"/>
          <w:szCs w:val="22"/>
        </w:rPr>
        <w:t>.</w:t>
      </w:r>
    </w:p>
    <w:p w:rsidR="00040F66" w:rsidRDefault="00040F66" w:rsidP="00314564">
      <w:pPr>
        <w:rPr>
          <w:rFonts w:cs="Arial"/>
          <w:szCs w:val="22"/>
        </w:rPr>
      </w:pPr>
    </w:p>
    <w:p w:rsidR="00591852" w:rsidRPr="00011A61" w:rsidRDefault="00040F66" w:rsidP="00314564">
      <w:pPr>
        <w:rPr>
          <w:rFonts w:cs="Arial"/>
          <w:szCs w:val="22"/>
        </w:rPr>
      </w:pPr>
      <w:r>
        <w:rPr>
          <w:rFonts w:cs="Arial"/>
          <w:szCs w:val="22"/>
        </w:rPr>
        <w:t xml:space="preserve"> </w:t>
      </w:r>
      <w:r w:rsidR="00591852">
        <w:rPr>
          <w:b/>
        </w:rPr>
        <w:br w:type="page"/>
      </w:r>
    </w:p>
    <w:p w:rsidR="003B65CD" w:rsidRDefault="00FE35BB">
      <w:pPr>
        <w:rPr>
          <w:b/>
        </w:rPr>
      </w:pPr>
      <w:bookmarkStart w:id="0" w:name="_GoBack"/>
      <w:bookmarkEnd w:id="0"/>
      <w:r>
        <w:rPr>
          <w:b/>
        </w:rPr>
        <w:lastRenderedPageBreak/>
        <w:t>REFERENCES</w:t>
      </w:r>
    </w:p>
    <w:p w:rsidR="00674F0C" w:rsidRDefault="00674F0C" w:rsidP="003B65CD">
      <w:pPr>
        <w:pStyle w:val="EndnoteText"/>
        <w:spacing w:line="240" w:lineRule="auto"/>
        <w:ind w:left="187" w:hanging="187"/>
        <w:rPr>
          <w:sz w:val="18"/>
          <w:szCs w:val="18"/>
        </w:rPr>
      </w:pPr>
    </w:p>
    <w:p w:rsidR="003B65CD" w:rsidRPr="00F42D88" w:rsidRDefault="003B65CD" w:rsidP="00674F0C">
      <w:pPr>
        <w:pStyle w:val="EndnoteText"/>
        <w:spacing w:line="240" w:lineRule="auto"/>
        <w:ind w:left="90" w:hanging="90"/>
        <w:rPr>
          <w:sz w:val="22"/>
          <w:szCs w:val="22"/>
        </w:rPr>
      </w:pPr>
      <w:proofErr w:type="spellStart"/>
      <w:r w:rsidRPr="00F42D88">
        <w:rPr>
          <w:sz w:val="22"/>
          <w:szCs w:val="22"/>
        </w:rPr>
        <w:t>Anari</w:t>
      </w:r>
      <w:proofErr w:type="spellEnd"/>
      <w:r w:rsidRPr="00F42D88">
        <w:rPr>
          <w:sz w:val="22"/>
          <w:szCs w:val="22"/>
        </w:rPr>
        <w:t xml:space="preserve">, M.A. &amp; Hunt, Harold D.,  </w:t>
      </w:r>
      <w:r w:rsidRPr="00F42D88">
        <w:rPr>
          <w:i/>
          <w:sz w:val="22"/>
          <w:szCs w:val="22"/>
        </w:rPr>
        <w:t xml:space="preserve">Natural Vacancy Rates in Major Texas Office Markets, </w:t>
      </w:r>
      <w:r w:rsidRPr="00F42D88">
        <w:rPr>
          <w:sz w:val="22"/>
          <w:szCs w:val="22"/>
        </w:rPr>
        <w:t>Technical Report, Real Est</w:t>
      </w:r>
      <w:r w:rsidR="006F4C4C" w:rsidRPr="00F42D88">
        <w:rPr>
          <w:sz w:val="22"/>
          <w:szCs w:val="22"/>
        </w:rPr>
        <w:t>ate Center, November 2002.</w:t>
      </w:r>
    </w:p>
    <w:p w:rsidR="003B65CD" w:rsidRPr="00F42D88" w:rsidRDefault="003B65CD" w:rsidP="003B65CD">
      <w:pPr>
        <w:pStyle w:val="EndnoteText"/>
        <w:spacing w:line="240" w:lineRule="auto"/>
        <w:ind w:left="90" w:hanging="90"/>
        <w:rPr>
          <w:sz w:val="22"/>
          <w:szCs w:val="22"/>
        </w:rPr>
      </w:pPr>
    </w:p>
    <w:p w:rsidR="003B65CD" w:rsidRPr="00F42D88" w:rsidRDefault="003B65CD" w:rsidP="003B65CD">
      <w:pPr>
        <w:pStyle w:val="EndnoteText"/>
        <w:spacing w:line="240" w:lineRule="auto"/>
        <w:ind w:left="90" w:hanging="90"/>
        <w:rPr>
          <w:sz w:val="22"/>
          <w:szCs w:val="22"/>
        </w:rPr>
      </w:pPr>
      <w:r w:rsidRPr="00F42D88">
        <w:rPr>
          <w:sz w:val="22"/>
          <w:szCs w:val="22"/>
        </w:rPr>
        <w:t xml:space="preserve">Blank, David M. &amp; </w:t>
      </w:r>
      <w:proofErr w:type="spellStart"/>
      <w:r w:rsidRPr="00F42D88">
        <w:rPr>
          <w:sz w:val="22"/>
          <w:szCs w:val="22"/>
        </w:rPr>
        <w:t>Winnick</w:t>
      </w:r>
      <w:proofErr w:type="spellEnd"/>
      <w:r w:rsidRPr="00F42D88">
        <w:rPr>
          <w:sz w:val="22"/>
          <w:szCs w:val="22"/>
        </w:rPr>
        <w:t xml:space="preserve">, Lois, “The Structure of the Housing Market,” </w:t>
      </w:r>
      <w:r w:rsidRPr="00F42D88">
        <w:rPr>
          <w:i/>
          <w:sz w:val="22"/>
          <w:szCs w:val="22"/>
        </w:rPr>
        <w:t>Quarterly Journal of Economics</w:t>
      </w:r>
      <w:r w:rsidRPr="00F42D88">
        <w:rPr>
          <w:sz w:val="22"/>
          <w:szCs w:val="22"/>
        </w:rPr>
        <w:t xml:space="preserve">, May 1953, 67, </w:t>
      </w:r>
      <w:r w:rsidR="00674F0C" w:rsidRPr="00F42D88">
        <w:rPr>
          <w:sz w:val="22"/>
          <w:szCs w:val="22"/>
        </w:rPr>
        <w:t>pp. 181 – 203.</w:t>
      </w:r>
    </w:p>
    <w:p w:rsidR="003B65CD" w:rsidRPr="00F42D88" w:rsidRDefault="003B65CD" w:rsidP="003B65CD">
      <w:pPr>
        <w:pStyle w:val="EndnoteText"/>
        <w:spacing w:line="240" w:lineRule="auto"/>
        <w:ind w:left="86" w:hanging="86"/>
        <w:rPr>
          <w:sz w:val="22"/>
          <w:szCs w:val="22"/>
        </w:rPr>
      </w:pPr>
    </w:p>
    <w:p w:rsidR="003B65CD" w:rsidRPr="00F42D88" w:rsidRDefault="003B65CD" w:rsidP="003B65CD">
      <w:pPr>
        <w:pStyle w:val="EndnoteText"/>
        <w:spacing w:line="240" w:lineRule="auto"/>
        <w:ind w:left="86" w:hanging="86"/>
        <w:rPr>
          <w:sz w:val="22"/>
          <w:szCs w:val="22"/>
        </w:rPr>
      </w:pPr>
      <w:proofErr w:type="spellStart"/>
      <w:r w:rsidRPr="00F42D88">
        <w:rPr>
          <w:sz w:val="22"/>
          <w:szCs w:val="22"/>
        </w:rPr>
        <w:t>Carn</w:t>
      </w:r>
      <w:proofErr w:type="spellEnd"/>
      <w:r w:rsidRPr="00F42D88">
        <w:rPr>
          <w:sz w:val="22"/>
          <w:szCs w:val="22"/>
        </w:rPr>
        <w:t xml:space="preserve">, Neil, Joseph </w:t>
      </w:r>
      <w:proofErr w:type="spellStart"/>
      <w:r w:rsidRPr="00F42D88">
        <w:rPr>
          <w:sz w:val="22"/>
          <w:szCs w:val="22"/>
        </w:rPr>
        <w:t>Rabianski</w:t>
      </w:r>
      <w:proofErr w:type="spellEnd"/>
      <w:r w:rsidRPr="00F42D88">
        <w:rPr>
          <w:sz w:val="22"/>
          <w:szCs w:val="22"/>
        </w:rPr>
        <w:t xml:space="preserve">, Ronald </w:t>
      </w:r>
      <w:proofErr w:type="spellStart"/>
      <w:r w:rsidRPr="00F42D88">
        <w:rPr>
          <w:sz w:val="22"/>
          <w:szCs w:val="22"/>
        </w:rPr>
        <w:t>Racster</w:t>
      </w:r>
      <w:proofErr w:type="spellEnd"/>
      <w:r w:rsidRPr="00F42D88">
        <w:rPr>
          <w:sz w:val="22"/>
          <w:szCs w:val="22"/>
        </w:rPr>
        <w:t xml:space="preserve">, and Maury </w:t>
      </w:r>
      <w:proofErr w:type="spellStart"/>
      <w:r w:rsidRPr="00F42D88">
        <w:rPr>
          <w:sz w:val="22"/>
          <w:szCs w:val="22"/>
        </w:rPr>
        <w:t>Seldin</w:t>
      </w:r>
      <w:proofErr w:type="spellEnd"/>
      <w:r w:rsidRPr="00F42D88">
        <w:rPr>
          <w:sz w:val="22"/>
          <w:szCs w:val="22"/>
        </w:rPr>
        <w:t xml:space="preserve">, </w:t>
      </w:r>
      <w:r w:rsidRPr="00F42D88">
        <w:rPr>
          <w:i/>
          <w:sz w:val="22"/>
          <w:szCs w:val="22"/>
        </w:rPr>
        <w:t>Real Estate Market Analysis, Techniques and Applications,</w:t>
      </w:r>
      <w:r w:rsidR="00674F0C" w:rsidRPr="00F42D88">
        <w:rPr>
          <w:sz w:val="22"/>
          <w:szCs w:val="22"/>
        </w:rPr>
        <w:t xml:space="preserve"> Prentice Hall, 1988.</w:t>
      </w:r>
    </w:p>
    <w:p w:rsidR="003B65CD" w:rsidRPr="00F42D88" w:rsidRDefault="003B65CD" w:rsidP="003B65CD">
      <w:pPr>
        <w:pStyle w:val="EndnoteText"/>
        <w:spacing w:line="240" w:lineRule="auto"/>
        <w:ind w:left="187" w:hanging="187"/>
        <w:rPr>
          <w:sz w:val="22"/>
          <w:szCs w:val="22"/>
        </w:rPr>
      </w:pPr>
    </w:p>
    <w:p w:rsidR="003B65CD" w:rsidRPr="00F42D88" w:rsidRDefault="003B65CD" w:rsidP="003B65CD">
      <w:pPr>
        <w:pStyle w:val="EndnoteText"/>
        <w:spacing w:line="240" w:lineRule="auto"/>
        <w:ind w:left="187" w:hanging="187"/>
        <w:rPr>
          <w:sz w:val="22"/>
          <w:szCs w:val="22"/>
        </w:rPr>
      </w:pPr>
      <w:r w:rsidRPr="00F42D88">
        <w:rPr>
          <w:sz w:val="22"/>
          <w:szCs w:val="22"/>
        </w:rPr>
        <w:t>Clapp, John M.</w:t>
      </w:r>
      <w:r w:rsidR="006F4C4C" w:rsidRPr="00F42D88">
        <w:rPr>
          <w:sz w:val="22"/>
          <w:szCs w:val="22"/>
        </w:rPr>
        <w:t>,</w:t>
      </w:r>
      <w:r w:rsidRPr="00F42D88">
        <w:rPr>
          <w:sz w:val="22"/>
          <w:szCs w:val="22"/>
        </w:rPr>
        <w:t xml:space="preserve"> </w:t>
      </w:r>
      <w:r w:rsidRPr="00F42D88">
        <w:rPr>
          <w:i/>
          <w:sz w:val="22"/>
          <w:szCs w:val="22"/>
        </w:rPr>
        <w:t>Handbook for Real Estate Market Analysis,</w:t>
      </w:r>
      <w:r w:rsidRPr="00F42D88">
        <w:rPr>
          <w:sz w:val="22"/>
          <w:szCs w:val="22"/>
        </w:rPr>
        <w:t xml:space="preserve"> Prentice-Hall, Inc., 1987.</w:t>
      </w:r>
    </w:p>
    <w:p w:rsidR="006F4C4C" w:rsidRPr="00F42D88" w:rsidRDefault="006F4C4C" w:rsidP="003B65CD">
      <w:pPr>
        <w:pStyle w:val="EndnoteText"/>
        <w:spacing w:line="240" w:lineRule="auto"/>
        <w:ind w:left="187" w:hanging="187"/>
        <w:rPr>
          <w:sz w:val="22"/>
          <w:szCs w:val="22"/>
        </w:rPr>
      </w:pPr>
    </w:p>
    <w:p w:rsidR="006F4C4C" w:rsidRPr="00F42D88" w:rsidRDefault="006F4C4C" w:rsidP="003B65CD">
      <w:pPr>
        <w:pStyle w:val="EndnoteText"/>
        <w:spacing w:line="240" w:lineRule="auto"/>
        <w:ind w:left="187" w:hanging="187"/>
        <w:rPr>
          <w:sz w:val="22"/>
          <w:szCs w:val="22"/>
        </w:rPr>
      </w:pPr>
      <w:r w:rsidRPr="00F42D88">
        <w:rPr>
          <w:sz w:val="22"/>
          <w:szCs w:val="22"/>
        </w:rPr>
        <w:t xml:space="preserve">Clapp, John M., </w:t>
      </w:r>
      <w:r w:rsidRPr="00F42D88">
        <w:rPr>
          <w:i/>
          <w:sz w:val="22"/>
          <w:szCs w:val="22"/>
        </w:rPr>
        <w:t xml:space="preserve">Dynamics of Office Markets, </w:t>
      </w:r>
      <w:proofErr w:type="gramStart"/>
      <w:r w:rsidRPr="00F42D88">
        <w:rPr>
          <w:sz w:val="22"/>
          <w:szCs w:val="22"/>
        </w:rPr>
        <w:t>The</w:t>
      </w:r>
      <w:proofErr w:type="gramEnd"/>
      <w:r w:rsidRPr="00F42D88">
        <w:rPr>
          <w:sz w:val="22"/>
          <w:szCs w:val="22"/>
        </w:rPr>
        <w:t xml:space="preserve"> Urban Institute Press</w:t>
      </w:r>
      <w:r w:rsidR="00674F0C" w:rsidRPr="00F42D88">
        <w:rPr>
          <w:sz w:val="22"/>
          <w:szCs w:val="22"/>
        </w:rPr>
        <w:t>, 1993.</w:t>
      </w:r>
      <w:r w:rsidRPr="00F42D88">
        <w:rPr>
          <w:sz w:val="22"/>
          <w:szCs w:val="22"/>
        </w:rPr>
        <w:t xml:space="preserve"> </w:t>
      </w:r>
    </w:p>
    <w:p w:rsidR="003B65CD" w:rsidRPr="00F42D88" w:rsidRDefault="003B65CD" w:rsidP="003B65CD">
      <w:pPr>
        <w:pStyle w:val="EndnoteText"/>
        <w:spacing w:line="240" w:lineRule="auto"/>
        <w:ind w:left="187" w:hanging="187"/>
        <w:rPr>
          <w:sz w:val="22"/>
          <w:szCs w:val="22"/>
        </w:rPr>
      </w:pPr>
    </w:p>
    <w:p w:rsidR="003B65CD" w:rsidRPr="00F42D88" w:rsidRDefault="003B65CD" w:rsidP="00674F0C">
      <w:pPr>
        <w:pStyle w:val="EndnoteText"/>
        <w:spacing w:line="240" w:lineRule="auto"/>
        <w:ind w:left="90" w:hanging="90"/>
        <w:rPr>
          <w:sz w:val="22"/>
          <w:szCs w:val="22"/>
        </w:rPr>
      </w:pPr>
      <w:r w:rsidRPr="00F42D88">
        <w:rPr>
          <w:sz w:val="22"/>
          <w:szCs w:val="22"/>
        </w:rPr>
        <w:t xml:space="preserve">Crone, Theodore M., </w:t>
      </w:r>
      <w:r w:rsidR="006F4C4C" w:rsidRPr="00F42D88">
        <w:rPr>
          <w:sz w:val="22"/>
          <w:szCs w:val="22"/>
        </w:rPr>
        <w:t>“O</w:t>
      </w:r>
      <w:r w:rsidRPr="00F42D88">
        <w:rPr>
          <w:sz w:val="22"/>
          <w:szCs w:val="22"/>
        </w:rPr>
        <w:t>ffice Vacancy Rates: How Should We Interpret Them?</w:t>
      </w:r>
      <w:proofErr w:type="gramStart"/>
      <w:r w:rsidR="006F4C4C" w:rsidRPr="00F42D88">
        <w:rPr>
          <w:sz w:val="22"/>
          <w:szCs w:val="22"/>
        </w:rPr>
        <w:t>”,</w:t>
      </w:r>
      <w:proofErr w:type="gramEnd"/>
      <w:r w:rsidRPr="00F42D88">
        <w:rPr>
          <w:sz w:val="22"/>
          <w:szCs w:val="22"/>
        </w:rPr>
        <w:t xml:space="preserve"> </w:t>
      </w:r>
      <w:r w:rsidRPr="00F42D88">
        <w:rPr>
          <w:i/>
          <w:sz w:val="22"/>
          <w:szCs w:val="22"/>
        </w:rPr>
        <w:t>Business Review</w:t>
      </w:r>
      <w:r w:rsidRPr="00F42D88">
        <w:rPr>
          <w:sz w:val="22"/>
          <w:szCs w:val="22"/>
        </w:rPr>
        <w:t>, Federal Reserve Bank of Ph</w:t>
      </w:r>
      <w:r w:rsidR="00674F0C" w:rsidRPr="00F42D88">
        <w:rPr>
          <w:sz w:val="22"/>
          <w:szCs w:val="22"/>
        </w:rPr>
        <w:t>iladelphia, May/June 1989.</w:t>
      </w:r>
    </w:p>
    <w:p w:rsidR="003B65CD" w:rsidRPr="00F42D88" w:rsidRDefault="003B65CD" w:rsidP="003B65CD">
      <w:pPr>
        <w:pStyle w:val="EndnoteText"/>
        <w:spacing w:line="240" w:lineRule="auto"/>
        <w:ind w:left="86" w:hanging="86"/>
        <w:rPr>
          <w:sz w:val="22"/>
          <w:szCs w:val="22"/>
        </w:rPr>
      </w:pPr>
    </w:p>
    <w:p w:rsidR="003B65CD" w:rsidRPr="00F42D88" w:rsidRDefault="003B65CD" w:rsidP="00674F0C">
      <w:pPr>
        <w:pStyle w:val="EndnoteText"/>
        <w:spacing w:line="240" w:lineRule="auto"/>
        <w:ind w:left="90" w:hanging="90"/>
        <w:rPr>
          <w:sz w:val="22"/>
          <w:szCs w:val="22"/>
        </w:rPr>
      </w:pPr>
      <w:r w:rsidRPr="00F42D88">
        <w:rPr>
          <w:sz w:val="22"/>
          <w:szCs w:val="22"/>
        </w:rPr>
        <w:t>Downs, Anthony</w:t>
      </w:r>
      <w:proofErr w:type="gramStart"/>
      <w:r w:rsidRPr="00F42D88">
        <w:rPr>
          <w:sz w:val="22"/>
          <w:szCs w:val="22"/>
        </w:rPr>
        <w:t>, ”</w:t>
      </w:r>
      <w:proofErr w:type="gramEnd"/>
      <w:r w:rsidRPr="00F42D88">
        <w:rPr>
          <w:sz w:val="22"/>
          <w:szCs w:val="22"/>
        </w:rPr>
        <w:t xml:space="preserve">Cycles in Office Space Markets,” </w:t>
      </w:r>
      <w:r w:rsidRPr="00F42D88">
        <w:rPr>
          <w:i/>
          <w:sz w:val="22"/>
          <w:szCs w:val="22"/>
        </w:rPr>
        <w:t>The Office Building From Concept to Investment Reality,</w:t>
      </w:r>
      <w:r w:rsidRPr="00F42D88">
        <w:rPr>
          <w:sz w:val="22"/>
          <w:szCs w:val="22"/>
        </w:rPr>
        <w:t xml:space="preserve"> Counselors of Real Estate, et al., 1993, p</w:t>
      </w:r>
      <w:r w:rsidR="00674F0C" w:rsidRPr="00F42D88">
        <w:rPr>
          <w:sz w:val="22"/>
          <w:szCs w:val="22"/>
        </w:rPr>
        <w:t>p</w:t>
      </w:r>
      <w:r w:rsidRPr="00F42D88">
        <w:rPr>
          <w:sz w:val="22"/>
          <w:szCs w:val="22"/>
        </w:rPr>
        <w:t>. 1</w:t>
      </w:r>
      <w:r w:rsidR="00674F0C" w:rsidRPr="00F42D88">
        <w:rPr>
          <w:sz w:val="22"/>
          <w:szCs w:val="22"/>
        </w:rPr>
        <w:t>53 – 169.</w:t>
      </w:r>
    </w:p>
    <w:p w:rsidR="003B65CD" w:rsidRPr="00F42D88" w:rsidRDefault="003B65CD" w:rsidP="003B65CD">
      <w:pPr>
        <w:pStyle w:val="EndnoteText"/>
        <w:spacing w:line="240" w:lineRule="auto"/>
        <w:rPr>
          <w:sz w:val="22"/>
          <w:szCs w:val="22"/>
        </w:rPr>
      </w:pPr>
    </w:p>
    <w:p w:rsidR="00B4420B" w:rsidRPr="00F42D88" w:rsidRDefault="00B4420B" w:rsidP="00674F0C">
      <w:pPr>
        <w:pStyle w:val="EndnoteText"/>
        <w:spacing w:line="240" w:lineRule="auto"/>
        <w:ind w:left="90" w:hanging="90"/>
        <w:rPr>
          <w:sz w:val="22"/>
          <w:szCs w:val="22"/>
        </w:rPr>
      </w:pPr>
      <w:r w:rsidRPr="00F42D88">
        <w:rPr>
          <w:sz w:val="22"/>
          <w:szCs w:val="22"/>
        </w:rPr>
        <w:t>Eubank, Arthur A., Jr</w:t>
      </w:r>
      <w:proofErr w:type="gramStart"/>
      <w:r w:rsidRPr="00F42D88">
        <w:rPr>
          <w:sz w:val="22"/>
          <w:szCs w:val="22"/>
        </w:rPr>
        <w:t>. &amp;</w:t>
      </w:r>
      <w:proofErr w:type="gramEnd"/>
      <w:r w:rsidRPr="00F42D88">
        <w:rPr>
          <w:sz w:val="22"/>
          <w:szCs w:val="22"/>
        </w:rPr>
        <w:t xml:space="preserve"> Sirmans, C.F., “The Price Adjustment Mechanism for Rental Housing in the United States</w:t>
      </w:r>
      <w:r w:rsidR="006F4C4C" w:rsidRPr="00F42D88">
        <w:rPr>
          <w:sz w:val="22"/>
          <w:szCs w:val="22"/>
        </w:rPr>
        <w:t>”</w:t>
      </w:r>
      <w:r w:rsidRPr="00F42D88">
        <w:rPr>
          <w:sz w:val="22"/>
          <w:szCs w:val="22"/>
        </w:rPr>
        <w:t xml:space="preserve"> </w:t>
      </w:r>
      <w:r w:rsidRPr="00F42D88">
        <w:rPr>
          <w:i/>
          <w:sz w:val="22"/>
          <w:szCs w:val="22"/>
        </w:rPr>
        <w:t>Quarterly Journal of Economics,</w:t>
      </w:r>
      <w:r w:rsidRPr="00F42D88">
        <w:rPr>
          <w:sz w:val="22"/>
          <w:szCs w:val="22"/>
        </w:rPr>
        <w:t xml:space="preserve"> February, 1979, pp. 163 – 168.</w:t>
      </w:r>
    </w:p>
    <w:p w:rsidR="00B4420B" w:rsidRPr="00F42D88" w:rsidRDefault="00B4420B" w:rsidP="003B65CD">
      <w:pPr>
        <w:pStyle w:val="EndnoteText"/>
        <w:spacing w:line="240" w:lineRule="auto"/>
        <w:rPr>
          <w:sz w:val="22"/>
          <w:szCs w:val="22"/>
        </w:rPr>
      </w:pPr>
    </w:p>
    <w:p w:rsidR="003B65CD" w:rsidRPr="00F42D88" w:rsidRDefault="003B65CD" w:rsidP="003B65CD">
      <w:pPr>
        <w:pStyle w:val="EndnoteText"/>
        <w:spacing w:line="240" w:lineRule="auto"/>
        <w:rPr>
          <w:sz w:val="22"/>
          <w:szCs w:val="22"/>
        </w:rPr>
      </w:pPr>
      <w:r w:rsidRPr="00F42D88">
        <w:rPr>
          <w:sz w:val="22"/>
          <w:szCs w:val="22"/>
        </w:rPr>
        <w:t xml:space="preserve">Fanning, Stephen F., </w:t>
      </w:r>
      <w:r w:rsidRPr="00F42D88">
        <w:rPr>
          <w:i/>
          <w:sz w:val="22"/>
          <w:szCs w:val="22"/>
        </w:rPr>
        <w:t>Market Analysis for Real Estate</w:t>
      </w:r>
      <w:proofErr w:type="gramStart"/>
      <w:r w:rsidRPr="00F42D88">
        <w:rPr>
          <w:sz w:val="22"/>
          <w:szCs w:val="22"/>
        </w:rPr>
        <w:t>,  Appraisal</w:t>
      </w:r>
      <w:proofErr w:type="gramEnd"/>
      <w:r w:rsidRPr="00F42D88">
        <w:rPr>
          <w:sz w:val="22"/>
          <w:szCs w:val="22"/>
        </w:rPr>
        <w:t xml:space="preserve"> Institute, 2005</w:t>
      </w:r>
      <w:r w:rsidR="00674F0C" w:rsidRPr="00F42D88">
        <w:rPr>
          <w:sz w:val="22"/>
          <w:szCs w:val="22"/>
        </w:rPr>
        <w:t>.</w:t>
      </w:r>
      <w:r w:rsidRPr="00F42D88">
        <w:rPr>
          <w:sz w:val="22"/>
          <w:szCs w:val="22"/>
        </w:rPr>
        <w:t xml:space="preserve">  </w:t>
      </w:r>
    </w:p>
    <w:p w:rsidR="003B65CD" w:rsidRPr="00F42D88" w:rsidRDefault="003B65CD" w:rsidP="003B65CD">
      <w:pPr>
        <w:pStyle w:val="EndnoteText"/>
        <w:spacing w:line="240" w:lineRule="auto"/>
        <w:ind w:left="270" w:hanging="270"/>
        <w:rPr>
          <w:sz w:val="22"/>
          <w:szCs w:val="22"/>
        </w:rPr>
      </w:pPr>
    </w:p>
    <w:p w:rsidR="003B65CD" w:rsidRPr="00F42D88" w:rsidRDefault="003B65CD" w:rsidP="00674F0C">
      <w:pPr>
        <w:pStyle w:val="EndnoteText"/>
        <w:spacing w:line="240" w:lineRule="auto"/>
        <w:ind w:left="90" w:hanging="90"/>
        <w:rPr>
          <w:sz w:val="22"/>
          <w:szCs w:val="22"/>
        </w:rPr>
      </w:pPr>
      <w:r w:rsidRPr="00F42D88">
        <w:rPr>
          <w:sz w:val="22"/>
          <w:szCs w:val="22"/>
        </w:rPr>
        <w:t xml:space="preserve">Fanning, Stephen F., MAI, Grissom, Terry V., MAI, PhD, Pearson, Thomas D., MAI, PhD., </w:t>
      </w:r>
      <w:r w:rsidRPr="00F42D88">
        <w:rPr>
          <w:i/>
          <w:sz w:val="22"/>
          <w:szCs w:val="22"/>
        </w:rPr>
        <w:t xml:space="preserve">Market Analysis for Valuation Appraisals, </w:t>
      </w:r>
      <w:r w:rsidRPr="00F42D88">
        <w:rPr>
          <w:sz w:val="22"/>
          <w:szCs w:val="22"/>
        </w:rPr>
        <w:t>Appraisal Institute, 1994.</w:t>
      </w:r>
    </w:p>
    <w:p w:rsidR="003B65CD" w:rsidRPr="00F42D88" w:rsidRDefault="003B65CD" w:rsidP="003B65CD">
      <w:pPr>
        <w:pStyle w:val="EndnoteText"/>
        <w:spacing w:line="240" w:lineRule="auto"/>
        <w:ind w:left="86" w:hanging="86"/>
        <w:rPr>
          <w:sz w:val="22"/>
          <w:szCs w:val="22"/>
        </w:rPr>
      </w:pPr>
    </w:p>
    <w:p w:rsidR="003B65CD" w:rsidRPr="00F42D88" w:rsidRDefault="003B65CD" w:rsidP="003B65CD">
      <w:pPr>
        <w:pStyle w:val="EndnoteText"/>
        <w:spacing w:line="240" w:lineRule="auto"/>
        <w:ind w:left="86" w:hanging="86"/>
        <w:rPr>
          <w:sz w:val="22"/>
          <w:szCs w:val="22"/>
        </w:rPr>
      </w:pPr>
      <w:r w:rsidRPr="00F42D88">
        <w:rPr>
          <w:sz w:val="22"/>
          <w:szCs w:val="22"/>
        </w:rPr>
        <w:t xml:space="preserve">Friedman, Milton, “The Role of Monetary Policy, </w:t>
      </w:r>
      <w:r w:rsidRPr="00F42D88">
        <w:rPr>
          <w:i/>
          <w:sz w:val="22"/>
          <w:szCs w:val="22"/>
        </w:rPr>
        <w:t>The American Economic Review</w:t>
      </w:r>
      <w:r w:rsidRPr="00F42D88">
        <w:rPr>
          <w:sz w:val="22"/>
          <w:szCs w:val="22"/>
        </w:rPr>
        <w:t>, Volume LVIII, Number 1, March 1968</w:t>
      </w:r>
      <w:r w:rsidR="00B4420B" w:rsidRPr="00F42D88">
        <w:rPr>
          <w:sz w:val="22"/>
          <w:szCs w:val="22"/>
        </w:rPr>
        <w:t>, pp. 1-17.</w:t>
      </w:r>
    </w:p>
    <w:p w:rsidR="003B65CD" w:rsidRPr="00F42D88" w:rsidRDefault="003B65CD" w:rsidP="003B65CD">
      <w:pPr>
        <w:pStyle w:val="EndnoteText"/>
        <w:spacing w:line="240" w:lineRule="auto"/>
        <w:ind w:left="187" w:hanging="187"/>
        <w:rPr>
          <w:sz w:val="22"/>
          <w:szCs w:val="22"/>
        </w:rPr>
      </w:pPr>
      <w:r w:rsidRPr="00F42D88">
        <w:rPr>
          <w:sz w:val="22"/>
          <w:szCs w:val="22"/>
        </w:rPr>
        <w:t xml:space="preserve">  </w:t>
      </w:r>
    </w:p>
    <w:p w:rsidR="00B4420B" w:rsidRPr="00F42D88" w:rsidRDefault="00B4420B" w:rsidP="00674F0C">
      <w:pPr>
        <w:pStyle w:val="EndnoteText"/>
        <w:spacing w:line="240" w:lineRule="auto"/>
        <w:ind w:left="90" w:hanging="90"/>
        <w:rPr>
          <w:sz w:val="22"/>
          <w:szCs w:val="22"/>
        </w:rPr>
      </w:pPr>
      <w:proofErr w:type="gramStart"/>
      <w:r w:rsidRPr="00F42D88">
        <w:rPr>
          <w:sz w:val="22"/>
          <w:szCs w:val="22"/>
        </w:rPr>
        <w:t xml:space="preserve">Gabriel, Stuart A. &amp; </w:t>
      </w:r>
      <w:proofErr w:type="spellStart"/>
      <w:r w:rsidRPr="00F42D88">
        <w:rPr>
          <w:sz w:val="22"/>
          <w:szCs w:val="22"/>
        </w:rPr>
        <w:t>Nothaft</w:t>
      </w:r>
      <w:proofErr w:type="spellEnd"/>
      <w:r w:rsidRPr="00F42D88">
        <w:rPr>
          <w:sz w:val="22"/>
          <w:szCs w:val="22"/>
        </w:rPr>
        <w:t>, Frank E., “Rental Housing Markets and the Natural Vacancy Rate”</w:t>
      </w:r>
      <w:r w:rsidRPr="00F42D88">
        <w:rPr>
          <w:i/>
          <w:sz w:val="22"/>
          <w:szCs w:val="22"/>
        </w:rPr>
        <w:t>, 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16, No. 4, 1988, pp. 419 – 429.</w:t>
      </w:r>
      <w:proofErr w:type="gramEnd"/>
      <w:r w:rsidRPr="00F42D88">
        <w:rPr>
          <w:i/>
          <w:sz w:val="22"/>
          <w:szCs w:val="22"/>
        </w:rPr>
        <w:t xml:space="preserve"> </w:t>
      </w:r>
    </w:p>
    <w:p w:rsidR="00531E66" w:rsidRDefault="00531E66" w:rsidP="00531E66">
      <w:pPr>
        <w:pStyle w:val="FootnoteText"/>
        <w:spacing w:line="240" w:lineRule="auto"/>
        <w:ind w:left="90" w:hanging="90"/>
        <w:rPr>
          <w:sz w:val="22"/>
          <w:szCs w:val="22"/>
        </w:rPr>
      </w:pPr>
    </w:p>
    <w:p w:rsidR="00531E66" w:rsidRDefault="00531E66" w:rsidP="00531E66">
      <w:pPr>
        <w:pStyle w:val="FootnoteText"/>
        <w:spacing w:line="240" w:lineRule="auto"/>
        <w:ind w:left="90" w:hanging="90"/>
        <w:rPr>
          <w:sz w:val="22"/>
          <w:szCs w:val="22"/>
        </w:rPr>
      </w:pPr>
      <w:proofErr w:type="spellStart"/>
      <w:proofErr w:type="gramStart"/>
      <w:r w:rsidRPr="00702CAB">
        <w:rPr>
          <w:sz w:val="22"/>
          <w:szCs w:val="22"/>
        </w:rPr>
        <w:t>Geltner</w:t>
      </w:r>
      <w:proofErr w:type="spellEnd"/>
      <w:r w:rsidRPr="00702CAB">
        <w:rPr>
          <w:sz w:val="22"/>
          <w:szCs w:val="22"/>
        </w:rPr>
        <w:t xml:space="preserve">, David M., Miller, Norman G., Clayton, Jim, </w:t>
      </w:r>
      <w:proofErr w:type="spellStart"/>
      <w:r w:rsidRPr="00702CAB">
        <w:rPr>
          <w:sz w:val="22"/>
          <w:szCs w:val="22"/>
        </w:rPr>
        <w:t>Eichholt</w:t>
      </w:r>
      <w:r>
        <w:rPr>
          <w:sz w:val="22"/>
          <w:szCs w:val="22"/>
        </w:rPr>
        <w:t>z</w:t>
      </w:r>
      <w:proofErr w:type="spellEnd"/>
      <w:r w:rsidRPr="00702CAB">
        <w:rPr>
          <w:sz w:val="22"/>
          <w:szCs w:val="22"/>
        </w:rPr>
        <w:t xml:space="preserve">, Piet, </w:t>
      </w:r>
      <w:r w:rsidRPr="00702CAB">
        <w:rPr>
          <w:i/>
          <w:sz w:val="22"/>
          <w:szCs w:val="22"/>
        </w:rPr>
        <w:t>Commercial Real Estate Analysis &amp; Investments</w:t>
      </w:r>
      <w:r w:rsidRPr="00702CAB">
        <w:rPr>
          <w:sz w:val="22"/>
          <w:szCs w:val="22"/>
        </w:rPr>
        <w:t>, Thomson South-Western, 2007</w:t>
      </w:r>
      <w:r>
        <w:rPr>
          <w:sz w:val="22"/>
          <w:szCs w:val="22"/>
        </w:rPr>
        <w:t>.</w:t>
      </w:r>
      <w:proofErr w:type="gramEnd"/>
    </w:p>
    <w:p w:rsidR="00531E66" w:rsidRDefault="00531E66" w:rsidP="00674F0C">
      <w:pPr>
        <w:pStyle w:val="EndnoteText"/>
        <w:spacing w:line="240" w:lineRule="auto"/>
        <w:ind w:left="90" w:hanging="90"/>
        <w:rPr>
          <w:sz w:val="22"/>
          <w:szCs w:val="22"/>
        </w:rPr>
      </w:pPr>
    </w:p>
    <w:p w:rsidR="003B65CD" w:rsidRPr="00F42D88" w:rsidRDefault="003B65CD" w:rsidP="00674F0C">
      <w:pPr>
        <w:pStyle w:val="EndnoteText"/>
        <w:spacing w:line="240" w:lineRule="auto"/>
        <w:ind w:left="90" w:hanging="90"/>
        <w:rPr>
          <w:sz w:val="22"/>
          <w:szCs w:val="22"/>
        </w:rPr>
      </w:pPr>
      <w:r w:rsidRPr="00F42D88">
        <w:rPr>
          <w:sz w:val="22"/>
          <w:szCs w:val="22"/>
        </w:rPr>
        <w:t xml:space="preserve">Hagen, Daniel A. &amp; Hansen, Julia L, “Rental Housing and the Natural Vacancy Rate,” </w:t>
      </w:r>
      <w:r w:rsidRPr="00F42D88">
        <w:rPr>
          <w:i/>
          <w:sz w:val="22"/>
          <w:szCs w:val="22"/>
        </w:rPr>
        <w:t>Journal of Economic Research</w:t>
      </w:r>
      <w:r w:rsidRPr="00F42D88">
        <w:rPr>
          <w:sz w:val="22"/>
          <w:szCs w:val="22"/>
        </w:rPr>
        <w:t>, Vol. 32, No 4, 2010, p</w:t>
      </w:r>
      <w:r w:rsidR="00674F0C" w:rsidRPr="00F42D88">
        <w:rPr>
          <w:sz w:val="22"/>
          <w:szCs w:val="22"/>
        </w:rPr>
        <w:t>p</w:t>
      </w:r>
      <w:r w:rsidRPr="00F42D88">
        <w:rPr>
          <w:sz w:val="22"/>
          <w:szCs w:val="22"/>
        </w:rPr>
        <w:t xml:space="preserve">. </w:t>
      </w:r>
      <w:r w:rsidR="00674F0C" w:rsidRPr="00F42D88">
        <w:rPr>
          <w:sz w:val="22"/>
          <w:szCs w:val="22"/>
        </w:rPr>
        <w:t>413 - 433</w:t>
      </w:r>
      <w:r w:rsidRPr="00F42D88">
        <w:rPr>
          <w:sz w:val="22"/>
          <w:szCs w:val="22"/>
        </w:rPr>
        <w:t>.</w:t>
      </w:r>
    </w:p>
    <w:p w:rsidR="00CC41E6" w:rsidRPr="00F42D88" w:rsidRDefault="00CC41E6" w:rsidP="003B65CD">
      <w:pPr>
        <w:pStyle w:val="EndnoteText"/>
        <w:spacing w:line="240" w:lineRule="auto"/>
        <w:ind w:left="187" w:hanging="187"/>
        <w:rPr>
          <w:sz w:val="22"/>
          <w:szCs w:val="22"/>
        </w:rPr>
      </w:pPr>
    </w:p>
    <w:p w:rsidR="004E79F1" w:rsidRPr="004E79F1" w:rsidRDefault="004E79F1" w:rsidP="00674F0C">
      <w:pPr>
        <w:pStyle w:val="EndnoteText"/>
        <w:spacing w:line="240" w:lineRule="auto"/>
        <w:ind w:left="90" w:hanging="90"/>
        <w:rPr>
          <w:sz w:val="22"/>
          <w:szCs w:val="22"/>
        </w:rPr>
      </w:pPr>
      <w:r>
        <w:rPr>
          <w:sz w:val="22"/>
          <w:szCs w:val="22"/>
        </w:rPr>
        <w:t xml:space="preserve">Hauser, P.M. &amp; Jaffe, A.M., “The Extent of the Housing Shortage,” </w:t>
      </w:r>
      <w:r>
        <w:rPr>
          <w:i/>
          <w:sz w:val="22"/>
          <w:szCs w:val="22"/>
        </w:rPr>
        <w:t>Law and Contemporary Problems</w:t>
      </w:r>
      <w:r>
        <w:rPr>
          <w:sz w:val="22"/>
          <w:szCs w:val="22"/>
        </w:rPr>
        <w:t xml:space="preserve">, </w:t>
      </w:r>
      <w:proofErr w:type="gramStart"/>
      <w:r w:rsidRPr="004E79F1">
        <w:rPr>
          <w:sz w:val="22"/>
          <w:szCs w:val="22"/>
        </w:rPr>
        <w:t>Winter</w:t>
      </w:r>
      <w:proofErr w:type="gramEnd"/>
      <w:r w:rsidR="008E6121">
        <w:rPr>
          <w:sz w:val="22"/>
          <w:szCs w:val="22"/>
        </w:rPr>
        <w:t xml:space="preserve"> </w:t>
      </w:r>
      <w:r w:rsidRPr="004E79F1">
        <w:rPr>
          <w:sz w:val="22"/>
          <w:szCs w:val="22"/>
        </w:rPr>
        <w:t>1947, Vol. 12</w:t>
      </w:r>
      <w:r w:rsidR="008E6121">
        <w:rPr>
          <w:sz w:val="22"/>
          <w:szCs w:val="22"/>
        </w:rPr>
        <w:t>,</w:t>
      </w:r>
      <w:r w:rsidRPr="004E79F1">
        <w:rPr>
          <w:sz w:val="22"/>
          <w:szCs w:val="22"/>
        </w:rPr>
        <w:t xml:space="preserve"> Issue 1, p</w:t>
      </w:r>
      <w:r>
        <w:rPr>
          <w:sz w:val="22"/>
          <w:szCs w:val="22"/>
        </w:rPr>
        <w:t xml:space="preserve">p. </w:t>
      </w:r>
      <w:r w:rsidRPr="004E79F1">
        <w:rPr>
          <w:sz w:val="22"/>
          <w:szCs w:val="22"/>
        </w:rPr>
        <w:t>3</w:t>
      </w:r>
      <w:r>
        <w:rPr>
          <w:sz w:val="22"/>
          <w:szCs w:val="22"/>
        </w:rPr>
        <w:t xml:space="preserve"> - 15.</w:t>
      </w:r>
    </w:p>
    <w:p w:rsidR="004E79F1" w:rsidRDefault="004E79F1" w:rsidP="00674F0C">
      <w:pPr>
        <w:pStyle w:val="EndnoteText"/>
        <w:spacing w:line="240" w:lineRule="auto"/>
        <w:ind w:left="90" w:hanging="90"/>
        <w:rPr>
          <w:sz w:val="22"/>
          <w:szCs w:val="22"/>
        </w:rPr>
      </w:pPr>
    </w:p>
    <w:p w:rsidR="007360A5" w:rsidRPr="007360A5" w:rsidRDefault="007360A5" w:rsidP="007360A5">
      <w:pPr>
        <w:pStyle w:val="EndnoteText"/>
        <w:spacing w:line="240" w:lineRule="auto"/>
        <w:ind w:left="90" w:hanging="90"/>
        <w:rPr>
          <w:i/>
          <w:sz w:val="22"/>
          <w:szCs w:val="22"/>
        </w:rPr>
      </w:pPr>
      <w:r>
        <w:rPr>
          <w:sz w:val="22"/>
          <w:szCs w:val="22"/>
        </w:rPr>
        <w:t xml:space="preserve">Hoyt, Homer, </w:t>
      </w:r>
      <w:r w:rsidRPr="007360A5">
        <w:rPr>
          <w:i/>
          <w:sz w:val="22"/>
          <w:szCs w:val="22"/>
        </w:rPr>
        <w:t>100 Years of Land Values in Chicago: The Relationship of the Growth of Chicago to</w:t>
      </w:r>
    </w:p>
    <w:p w:rsidR="007360A5" w:rsidRDefault="007360A5" w:rsidP="007360A5">
      <w:pPr>
        <w:pStyle w:val="EndnoteText"/>
        <w:spacing w:line="240" w:lineRule="auto"/>
        <w:ind w:left="90" w:hanging="90"/>
        <w:rPr>
          <w:sz w:val="22"/>
          <w:szCs w:val="22"/>
        </w:rPr>
      </w:pPr>
      <w:proofErr w:type="gramStart"/>
      <w:r w:rsidRPr="007360A5">
        <w:rPr>
          <w:i/>
          <w:sz w:val="22"/>
          <w:szCs w:val="22"/>
        </w:rPr>
        <w:t>the</w:t>
      </w:r>
      <w:proofErr w:type="gramEnd"/>
      <w:r w:rsidRPr="007360A5">
        <w:rPr>
          <w:i/>
          <w:sz w:val="22"/>
          <w:szCs w:val="22"/>
        </w:rPr>
        <w:t xml:space="preserve"> Rise in its Land Values</w:t>
      </w:r>
      <w:r w:rsidRPr="007360A5">
        <w:rPr>
          <w:sz w:val="22"/>
          <w:szCs w:val="22"/>
        </w:rPr>
        <w:t>, 1830–1933, Chicago, IL: University of Chicago Press, 1933.</w:t>
      </w:r>
    </w:p>
    <w:p w:rsidR="007360A5" w:rsidRDefault="007360A5" w:rsidP="00674F0C">
      <w:pPr>
        <w:pStyle w:val="EndnoteText"/>
        <w:spacing w:line="240" w:lineRule="auto"/>
        <w:ind w:left="90" w:hanging="90"/>
        <w:rPr>
          <w:sz w:val="22"/>
          <w:szCs w:val="22"/>
        </w:rPr>
      </w:pPr>
    </w:p>
    <w:p w:rsidR="00CC41E6" w:rsidRPr="00F42D88" w:rsidRDefault="00CC41E6" w:rsidP="00674F0C">
      <w:pPr>
        <w:pStyle w:val="EndnoteText"/>
        <w:spacing w:line="240" w:lineRule="auto"/>
        <w:ind w:left="90" w:hanging="90"/>
        <w:rPr>
          <w:sz w:val="22"/>
          <w:szCs w:val="22"/>
        </w:rPr>
      </w:pPr>
      <w:r w:rsidRPr="00F42D88">
        <w:rPr>
          <w:sz w:val="22"/>
          <w:szCs w:val="22"/>
        </w:rPr>
        <w:t xml:space="preserve">Jud, G. Donald &amp; </w:t>
      </w:r>
      <w:proofErr w:type="spellStart"/>
      <w:r w:rsidRPr="00F42D88">
        <w:rPr>
          <w:sz w:val="22"/>
          <w:szCs w:val="22"/>
        </w:rPr>
        <w:t>Frew</w:t>
      </w:r>
      <w:proofErr w:type="spellEnd"/>
      <w:r w:rsidRPr="00F42D88">
        <w:rPr>
          <w:sz w:val="22"/>
          <w:szCs w:val="22"/>
        </w:rPr>
        <w:t>, James, “</w:t>
      </w:r>
      <w:proofErr w:type="spellStart"/>
      <w:r w:rsidRPr="00F42D88">
        <w:rPr>
          <w:sz w:val="22"/>
          <w:szCs w:val="22"/>
        </w:rPr>
        <w:t>Atypicality</w:t>
      </w:r>
      <w:proofErr w:type="spellEnd"/>
      <w:r w:rsidRPr="00F42D88">
        <w:rPr>
          <w:sz w:val="22"/>
          <w:szCs w:val="22"/>
        </w:rPr>
        <w:t xml:space="preserve"> and the Natural Vacancy Rate Hypothesis”, </w:t>
      </w:r>
      <w:r w:rsidRPr="00F42D88">
        <w:rPr>
          <w:i/>
          <w:sz w:val="22"/>
          <w:szCs w:val="22"/>
        </w:rPr>
        <w:t>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18, No. 3, 1990, pp. 294 – 301.</w:t>
      </w:r>
      <w:r w:rsidRPr="00F42D88">
        <w:rPr>
          <w:i/>
          <w:sz w:val="22"/>
          <w:szCs w:val="22"/>
        </w:rPr>
        <w:t xml:space="preserve"> </w:t>
      </w:r>
    </w:p>
    <w:p w:rsidR="00CC41E6" w:rsidRPr="00F42D88" w:rsidRDefault="00CC41E6" w:rsidP="003B65CD">
      <w:pPr>
        <w:pStyle w:val="EndnoteText"/>
        <w:spacing w:line="240" w:lineRule="auto"/>
        <w:ind w:left="187" w:hanging="187"/>
        <w:rPr>
          <w:sz w:val="22"/>
          <w:szCs w:val="22"/>
        </w:rPr>
      </w:pPr>
    </w:p>
    <w:p w:rsidR="00CC41E6" w:rsidRPr="00F42D88" w:rsidRDefault="00CC41E6" w:rsidP="00674F0C">
      <w:pPr>
        <w:pStyle w:val="EndnoteText"/>
        <w:spacing w:line="240" w:lineRule="auto"/>
        <w:ind w:left="90" w:hanging="90"/>
        <w:rPr>
          <w:sz w:val="22"/>
          <w:szCs w:val="22"/>
        </w:rPr>
      </w:pPr>
      <w:proofErr w:type="spellStart"/>
      <w:r w:rsidRPr="00F42D88">
        <w:rPr>
          <w:sz w:val="22"/>
          <w:szCs w:val="22"/>
        </w:rPr>
        <w:lastRenderedPageBreak/>
        <w:t>Krainer</w:t>
      </w:r>
      <w:proofErr w:type="spellEnd"/>
      <w:r w:rsidRPr="00F42D88">
        <w:rPr>
          <w:sz w:val="22"/>
          <w:szCs w:val="22"/>
        </w:rPr>
        <w:t xml:space="preserve">, John, </w:t>
      </w:r>
      <w:r w:rsidRPr="00F42D88">
        <w:rPr>
          <w:i/>
          <w:sz w:val="22"/>
          <w:szCs w:val="22"/>
        </w:rPr>
        <w:t>“</w:t>
      </w:r>
      <w:r w:rsidRPr="00F42D88">
        <w:rPr>
          <w:sz w:val="22"/>
          <w:szCs w:val="22"/>
        </w:rPr>
        <w:t>Natural Vacancy Rates in Commercial Real Estate”</w:t>
      </w:r>
      <w:r w:rsidRPr="00F42D88">
        <w:rPr>
          <w:i/>
          <w:sz w:val="22"/>
          <w:szCs w:val="22"/>
        </w:rPr>
        <w:t xml:space="preserve"> FRBSF Economic Letter, </w:t>
      </w:r>
      <w:r w:rsidRPr="00F42D88">
        <w:rPr>
          <w:sz w:val="22"/>
          <w:szCs w:val="22"/>
        </w:rPr>
        <w:t>Federal Reserve Bank of San Francisco, No. 2001-27, October 5, 2001.</w:t>
      </w:r>
    </w:p>
    <w:p w:rsidR="00CC41E6" w:rsidRPr="00F42D88" w:rsidRDefault="00CC41E6" w:rsidP="003B65CD">
      <w:pPr>
        <w:pStyle w:val="EndnoteText"/>
        <w:spacing w:line="240" w:lineRule="auto"/>
        <w:ind w:left="187" w:hanging="187"/>
        <w:rPr>
          <w:sz w:val="22"/>
          <w:szCs w:val="22"/>
        </w:rPr>
      </w:pPr>
    </w:p>
    <w:p w:rsidR="003B65CD" w:rsidRPr="00F42D88" w:rsidRDefault="00674F0C" w:rsidP="00674F0C">
      <w:pPr>
        <w:pStyle w:val="EndnoteText"/>
        <w:spacing w:line="240" w:lineRule="auto"/>
        <w:ind w:left="90" w:hanging="90"/>
        <w:rPr>
          <w:sz w:val="22"/>
          <w:szCs w:val="22"/>
        </w:rPr>
      </w:pPr>
      <w:r w:rsidRPr="00F42D88">
        <w:rPr>
          <w:sz w:val="22"/>
          <w:szCs w:val="22"/>
        </w:rPr>
        <w:t>M</w:t>
      </w:r>
      <w:r w:rsidR="003B65CD" w:rsidRPr="00F42D88">
        <w:rPr>
          <w:sz w:val="22"/>
          <w:szCs w:val="22"/>
        </w:rPr>
        <w:t>cDonald, John F., “Rent, Vacancy and Equilibrium in Real</w:t>
      </w:r>
      <w:r w:rsidR="00B4420B" w:rsidRPr="00F42D88">
        <w:rPr>
          <w:sz w:val="22"/>
          <w:szCs w:val="22"/>
        </w:rPr>
        <w:t xml:space="preserve"> Estate Markets,</w:t>
      </w:r>
      <w:r w:rsidR="003B65CD" w:rsidRPr="00F42D88">
        <w:rPr>
          <w:sz w:val="22"/>
          <w:szCs w:val="22"/>
        </w:rPr>
        <w:t xml:space="preserve"> </w:t>
      </w:r>
      <w:r w:rsidR="003B65CD" w:rsidRPr="00F42D88">
        <w:rPr>
          <w:i/>
          <w:sz w:val="22"/>
          <w:szCs w:val="22"/>
        </w:rPr>
        <w:t>Journal of Real Estate Practice and Education,</w:t>
      </w:r>
      <w:r w:rsidR="003B65CD" w:rsidRPr="00F42D88">
        <w:rPr>
          <w:sz w:val="22"/>
          <w:szCs w:val="22"/>
        </w:rPr>
        <w:t xml:space="preserve"> Volume 3, Number 1, 2000, p</w:t>
      </w:r>
      <w:r w:rsidR="00CC41E6" w:rsidRPr="00F42D88">
        <w:rPr>
          <w:sz w:val="22"/>
          <w:szCs w:val="22"/>
        </w:rPr>
        <w:t>p.</w:t>
      </w:r>
      <w:r w:rsidR="003B65CD" w:rsidRPr="00F42D88">
        <w:rPr>
          <w:sz w:val="22"/>
          <w:szCs w:val="22"/>
        </w:rPr>
        <w:t xml:space="preserve"> 5</w:t>
      </w:r>
      <w:r w:rsidR="00CC41E6" w:rsidRPr="00F42D88">
        <w:rPr>
          <w:sz w:val="22"/>
          <w:szCs w:val="22"/>
        </w:rPr>
        <w:t>5 – 69.</w:t>
      </w:r>
    </w:p>
    <w:p w:rsidR="003B65CD" w:rsidRPr="00F42D88" w:rsidRDefault="003B65CD" w:rsidP="003B65CD">
      <w:pPr>
        <w:pStyle w:val="EndnoteText"/>
        <w:spacing w:line="240" w:lineRule="auto"/>
        <w:ind w:left="187" w:hanging="187"/>
        <w:rPr>
          <w:sz w:val="22"/>
          <w:szCs w:val="22"/>
        </w:rPr>
      </w:pPr>
    </w:p>
    <w:p w:rsidR="00CC7AC6" w:rsidRDefault="00CC7AC6" w:rsidP="00702CAB">
      <w:pPr>
        <w:pStyle w:val="EndnoteText"/>
        <w:spacing w:line="240" w:lineRule="auto"/>
        <w:ind w:left="90" w:hanging="90"/>
        <w:rPr>
          <w:sz w:val="22"/>
          <w:szCs w:val="22"/>
        </w:rPr>
      </w:pPr>
      <w:r>
        <w:rPr>
          <w:sz w:val="22"/>
          <w:szCs w:val="22"/>
        </w:rPr>
        <w:t xml:space="preserve">McDonald, John F. &amp; </w:t>
      </w:r>
      <w:proofErr w:type="spellStart"/>
      <w:r>
        <w:rPr>
          <w:sz w:val="22"/>
          <w:szCs w:val="22"/>
        </w:rPr>
        <w:t>McMillen</w:t>
      </w:r>
      <w:proofErr w:type="spellEnd"/>
      <w:r>
        <w:rPr>
          <w:sz w:val="22"/>
          <w:szCs w:val="22"/>
        </w:rPr>
        <w:t xml:space="preserve">, Daniel P. </w:t>
      </w:r>
      <w:r>
        <w:rPr>
          <w:i/>
          <w:sz w:val="22"/>
          <w:szCs w:val="22"/>
        </w:rPr>
        <w:t xml:space="preserve">Urban Economics and </w:t>
      </w:r>
      <w:r w:rsidRPr="00F42D88">
        <w:rPr>
          <w:i/>
          <w:sz w:val="22"/>
          <w:szCs w:val="22"/>
        </w:rPr>
        <w:t>Real Estate</w:t>
      </w:r>
      <w:r w:rsidR="00065B5E">
        <w:rPr>
          <w:sz w:val="22"/>
          <w:szCs w:val="22"/>
        </w:rPr>
        <w:t>,  John Wiley &amp; Sons, 2</w:t>
      </w:r>
      <w:r w:rsidR="00065B5E" w:rsidRPr="00065B5E">
        <w:rPr>
          <w:sz w:val="22"/>
          <w:szCs w:val="22"/>
          <w:vertAlign w:val="superscript"/>
        </w:rPr>
        <w:t>nd</w:t>
      </w:r>
      <w:r w:rsidR="00065B5E">
        <w:rPr>
          <w:sz w:val="22"/>
          <w:szCs w:val="22"/>
        </w:rPr>
        <w:t xml:space="preserve"> </w:t>
      </w:r>
      <w:r>
        <w:rPr>
          <w:sz w:val="22"/>
          <w:szCs w:val="22"/>
        </w:rPr>
        <w:t xml:space="preserve">ed., </w:t>
      </w:r>
      <w:r w:rsidRPr="00F42D88">
        <w:rPr>
          <w:sz w:val="22"/>
          <w:szCs w:val="22"/>
        </w:rPr>
        <w:t xml:space="preserve"> 20</w:t>
      </w:r>
      <w:r>
        <w:rPr>
          <w:sz w:val="22"/>
          <w:szCs w:val="22"/>
        </w:rPr>
        <w:t>11</w:t>
      </w:r>
    </w:p>
    <w:p w:rsidR="00CC7AC6" w:rsidRDefault="00CC7AC6" w:rsidP="00702CAB">
      <w:pPr>
        <w:pStyle w:val="EndnoteText"/>
        <w:spacing w:line="240" w:lineRule="auto"/>
        <w:ind w:left="90" w:hanging="90"/>
        <w:rPr>
          <w:sz w:val="22"/>
          <w:szCs w:val="22"/>
        </w:rPr>
      </w:pPr>
    </w:p>
    <w:p w:rsidR="00531E66" w:rsidRDefault="00531E66" w:rsidP="00531E66">
      <w:pPr>
        <w:spacing w:line="240" w:lineRule="auto"/>
      </w:pPr>
      <w:r>
        <w:t>Mueller, Glenn R. “</w:t>
      </w:r>
      <w:r w:rsidRPr="003C7D4F">
        <w:t>Real Estate Rental Growth Rates at Different Points in the Physical Market Cycle</w:t>
      </w:r>
      <w:r>
        <w:t xml:space="preserve">” </w:t>
      </w:r>
      <w:r w:rsidRPr="003C7D4F">
        <w:rPr>
          <w:i/>
        </w:rPr>
        <w:t>Journal of Real Estate Research</w:t>
      </w:r>
      <w:r>
        <w:t xml:space="preserve">, </w:t>
      </w:r>
      <w:proofErr w:type="spellStart"/>
      <w:r>
        <w:t>Vol</w:t>
      </w:r>
      <w:proofErr w:type="spellEnd"/>
      <w:r>
        <w:t xml:space="preserve"> 18: No. 1, 1999, pp. 131-150</w:t>
      </w:r>
    </w:p>
    <w:p w:rsidR="00531E66" w:rsidRDefault="00531E66" w:rsidP="00702CAB">
      <w:pPr>
        <w:pStyle w:val="FootnoteText"/>
        <w:spacing w:line="240" w:lineRule="auto"/>
        <w:ind w:left="90" w:hanging="90"/>
        <w:rPr>
          <w:sz w:val="22"/>
          <w:szCs w:val="22"/>
        </w:rPr>
      </w:pPr>
    </w:p>
    <w:p w:rsidR="00531E66" w:rsidRPr="00531E66" w:rsidRDefault="00531E66" w:rsidP="00531E66">
      <w:pPr>
        <w:pStyle w:val="FootnoteText"/>
        <w:spacing w:line="240" w:lineRule="auto"/>
        <w:ind w:left="90" w:hanging="90"/>
        <w:rPr>
          <w:sz w:val="22"/>
          <w:szCs w:val="22"/>
        </w:rPr>
      </w:pPr>
      <w:r>
        <w:rPr>
          <w:sz w:val="22"/>
          <w:szCs w:val="22"/>
        </w:rPr>
        <w:t>____</w:t>
      </w:r>
      <w:r w:rsidRPr="00531E66">
        <w:rPr>
          <w:sz w:val="22"/>
          <w:szCs w:val="22"/>
        </w:rPr>
        <w:t>., Understanding Real Estate’s Physical and Financial Market Cycles, Real Estate</w:t>
      </w:r>
    </w:p>
    <w:p w:rsidR="00531E66" w:rsidRDefault="00531E66" w:rsidP="00531E66">
      <w:pPr>
        <w:pStyle w:val="FootnoteText"/>
        <w:spacing w:line="240" w:lineRule="auto"/>
        <w:ind w:left="90" w:hanging="90"/>
        <w:rPr>
          <w:sz w:val="22"/>
          <w:szCs w:val="22"/>
        </w:rPr>
      </w:pPr>
      <w:r w:rsidRPr="00531E66">
        <w:rPr>
          <w:sz w:val="22"/>
          <w:szCs w:val="22"/>
        </w:rPr>
        <w:t>Finance, 1995, 12:1, 47–52.</w:t>
      </w:r>
    </w:p>
    <w:p w:rsidR="00531E66" w:rsidRPr="00531E66" w:rsidRDefault="00531E66" w:rsidP="00531E66">
      <w:pPr>
        <w:pStyle w:val="FootnoteText"/>
        <w:spacing w:line="240" w:lineRule="auto"/>
        <w:ind w:left="90" w:hanging="90"/>
        <w:rPr>
          <w:sz w:val="22"/>
          <w:szCs w:val="22"/>
        </w:rPr>
      </w:pPr>
    </w:p>
    <w:p w:rsidR="00531E66" w:rsidRPr="00531E66" w:rsidRDefault="00531E66" w:rsidP="00531E66">
      <w:pPr>
        <w:pStyle w:val="EndnoteText"/>
        <w:spacing w:line="240" w:lineRule="auto"/>
        <w:ind w:left="90" w:hanging="90"/>
        <w:rPr>
          <w:sz w:val="22"/>
          <w:szCs w:val="22"/>
        </w:rPr>
      </w:pPr>
      <w:r w:rsidRPr="00531E66">
        <w:rPr>
          <w:sz w:val="22"/>
          <w:szCs w:val="22"/>
        </w:rPr>
        <w:t>Pyhrr, S. A., J. R. Webb and W. L. Born, Analyzing Real Estate Asset Performance During</w:t>
      </w:r>
    </w:p>
    <w:p w:rsidR="00531E66" w:rsidRPr="00531E66" w:rsidRDefault="00531E66" w:rsidP="00531E66">
      <w:pPr>
        <w:pStyle w:val="EndnoteText"/>
        <w:spacing w:line="240" w:lineRule="auto"/>
        <w:ind w:left="90" w:hanging="90"/>
        <w:rPr>
          <w:i/>
          <w:sz w:val="22"/>
          <w:szCs w:val="22"/>
        </w:rPr>
      </w:pPr>
      <w:r w:rsidRPr="00531E66">
        <w:rPr>
          <w:sz w:val="22"/>
          <w:szCs w:val="22"/>
        </w:rPr>
        <w:t xml:space="preserve">Periods of Market Disequilibrium, Under Cyclical Economic Conditions, </w:t>
      </w:r>
      <w:r w:rsidRPr="00531E66">
        <w:rPr>
          <w:i/>
          <w:sz w:val="22"/>
          <w:szCs w:val="22"/>
        </w:rPr>
        <w:t>Research in Real</w:t>
      </w:r>
    </w:p>
    <w:p w:rsidR="00531E66" w:rsidRDefault="00531E66" w:rsidP="00531E66">
      <w:pPr>
        <w:pStyle w:val="EndnoteText"/>
        <w:spacing w:line="240" w:lineRule="auto"/>
        <w:ind w:left="90" w:hanging="90"/>
        <w:rPr>
          <w:sz w:val="22"/>
          <w:szCs w:val="22"/>
        </w:rPr>
      </w:pPr>
      <w:proofErr w:type="gramStart"/>
      <w:r w:rsidRPr="00531E66">
        <w:rPr>
          <w:i/>
          <w:sz w:val="22"/>
          <w:szCs w:val="22"/>
        </w:rPr>
        <w:t>Estate</w:t>
      </w:r>
      <w:r w:rsidRPr="00531E66">
        <w:rPr>
          <w:sz w:val="22"/>
          <w:szCs w:val="22"/>
        </w:rPr>
        <w:t>, Vol. 3, 1990, JAI Press.</w:t>
      </w:r>
      <w:proofErr w:type="gramEnd"/>
    </w:p>
    <w:p w:rsidR="00531E66" w:rsidRDefault="00531E66" w:rsidP="00702CAB">
      <w:pPr>
        <w:pStyle w:val="EndnoteText"/>
        <w:spacing w:line="240" w:lineRule="auto"/>
        <w:ind w:left="90" w:hanging="90"/>
        <w:rPr>
          <w:sz w:val="22"/>
          <w:szCs w:val="22"/>
        </w:rPr>
      </w:pPr>
    </w:p>
    <w:p w:rsidR="003B65CD" w:rsidRPr="00F42D88" w:rsidRDefault="003B65CD" w:rsidP="00702CAB">
      <w:pPr>
        <w:pStyle w:val="EndnoteText"/>
        <w:spacing w:line="240" w:lineRule="auto"/>
        <w:ind w:left="90" w:hanging="90"/>
        <w:rPr>
          <w:sz w:val="22"/>
          <w:szCs w:val="22"/>
        </w:rPr>
      </w:pPr>
      <w:proofErr w:type="spellStart"/>
      <w:r w:rsidRPr="00F42D88">
        <w:rPr>
          <w:sz w:val="22"/>
          <w:szCs w:val="22"/>
        </w:rPr>
        <w:t>Rabianski</w:t>
      </w:r>
      <w:proofErr w:type="spellEnd"/>
      <w:r w:rsidRPr="00F42D88">
        <w:rPr>
          <w:sz w:val="22"/>
          <w:szCs w:val="22"/>
        </w:rPr>
        <w:t xml:space="preserve">, Joseph F., “Vacancy in Market Analysis and Valuation”, </w:t>
      </w:r>
      <w:proofErr w:type="gramStart"/>
      <w:r w:rsidRPr="00F42D88">
        <w:rPr>
          <w:i/>
          <w:sz w:val="22"/>
          <w:szCs w:val="22"/>
        </w:rPr>
        <w:t>The</w:t>
      </w:r>
      <w:proofErr w:type="gramEnd"/>
      <w:r w:rsidRPr="00F42D88">
        <w:rPr>
          <w:i/>
          <w:sz w:val="22"/>
          <w:szCs w:val="22"/>
        </w:rPr>
        <w:t xml:space="preserve"> Appraisal Journal</w:t>
      </w:r>
      <w:r w:rsidRPr="00F42D88">
        <w:rPr>
          <w:sz w:val="22"/>
          <w:szCs w:val="22"/>
        </w:rPr>
        <w:t>, April 2002, p</w:t>
      </w:r>
      <w:r w:rsidR="00674F0C" w:rsidRPr="00F42D88">
        <w:rPr>
          <w:sz w:val="22"/>
          <w:szCs w:val="22"/>
        </w:rPr>
        <w:t>p</w:t>
      </w:r>
      <w:r w:rsidRPr="00F42D88">
        <w:rPr>
          <w:sz w:val="22"/>
          <w:szCs w:val="22"/>
        </w:rPr>
        <w:t>. 19</w:t>
      </w:r>
      <w:r w:rsidR="00674F0C" w:rsidRPr="00F42D88">
        <w:rPr>
          <w:sz w:val="22"/>
          <w:szCs w:val="22"/>
        </w:rPr>
        <w:t>1 – 199.</w:t>
      </w:r>
    </w:p>
    <w:p w:rsidR="003B65CD" w:rsidRPr="00F42D88" w:rsidRDefault="003B65CD" w:rsidP="00702CAB">
      <w:pPr>
        <w:pStyle w:val="EndnoteText"/>
        <w:spacing w:line="240" w:lineRule="auto"/>
        <w:ind w:left="90" w:hanging="90"/>
        <w:rPr>
          <w:sz w:val="22"/>
          <w:szCs w:val="22"/>
        </w:rPr>
      </w:pPr>
    </w:p>
    <w:p w:rsidR="00B4420B" w:rsidRPr="00F42D88" w:rsidRDefault="00B4420B" w:rsidP="00702CAB">
      <w:pPr>
        <w:pStyle w:val="EndnoteText"/>
        <w:spacing w:line="240" w:lineRule="auto"/>
        <w:ind w:left="90" w:hanging="90"/>
        <w:rPr>
          <w:sz w:val="22"/>
          <w:szCs w:val="22"/>
        </w:rPr>
      </w:pPr>
      <w:r w:rsidRPr="00F42D88">
        <w:rPr>
          <w:sz w:val="22"/>
          <w:szCs w:val="22"/>
        </w:rPr>
        <w:t xml:space="preserve">Rosen, Kenneth T. &amp; Smith, Lawrence B., “The Price-Adjustment Process for Rental Housing and the Natural Vacancy Rate,” </w:t>
      </w:r>
      <w:r w:rsidRPr="00F42D88">
        <w:rPr>
          <w:i/>
          <w:sz w:val="22"/>
          <w:szCs w:val="22"/>
        </w:rPr>
        <w:t xml:space="preserve">The American Economic Review, </w:t>
      </w:r>
      <w:r w:rsidRPr="00F42D88">
        <w:rPr>
          <w:sz w:val="22"/>
          <w:szCs w:val="22"/>
        </w:rPr>
        <w:t>Vol. 73, No. 4, September 1983, pp. 779 – 786.</w:t>
      </w:r>
    </w:p>
    <w:p w:rsidR="00B4420B" w:rsidRPr="00F42D88" w:rsidRDefault="00B4420B" w:rsidP="003B65CD">
      <w:pPr>
        <w:pStyle w:val="EndnoteText"/>
        <w:spacing w:line="240" w:lineRule="auto"/>
        <w:ind w:left="90" w:hanging="90"/>
        <w:rPr>
          <w:sz w:val="22"/>
          <w:szCs w:val="22"/>
        </w:rPr>
      </w:pPr>
    </w:p>
    <w:p w:rsidR="00B4420B" w:rsidRPr="00F42D88" w:rsidRDefault="00B4420B" w:rsidP="003B65CD">
      <w:pPr>
        <w:pStyle w:val="EndnoteText"/>
        <w:spacing w:line="240" w:lineRule="auto"/>
        <w:ind w:left="90" w:hanging="90"/>
        <w:rPr>
          <w:sz w:val="22"/>
          <w:szCs w:val="22"/>
        </w:rPr>
      </w:pPr>
      <w:r w:rsidRPr="00F42D88">
        <w:rPr>
          <w:sz w:val="22"/>
          <w:szCs w:val="22"/>
        </w:rPr>
        <w:t xml:space="preserve">Shilling, James D., Sirmans, C.F. &amp; </w:t>
      </w:r>
      <w:proofErr w:type="spellStart"/>
      <w:r w:rsidRPr="00F42D88">
        <w:rPr>
          <w:sz w:val="22"/>
          <w:szCs w:val="22"/>
        </w:rPr>
        <w:t>Corgel</w:t>
      </w:r>
      <w:proofErr w:type="spellEnd"/>
      <w:r w:rsidRPr="00F42D88">
        <w:rPr>
          <w:sz w:val="22"/>
          <w:szCs w:val="22"/>
        </w:rPr>
        <w:t xml:space="preserve">, John B., “Price Adjustment Process for Rental Office Space”, </w:t>
      </w:r>
      <w:r w:rsidRPr="00F42D88">
        <w:rPr>
          <w:i/>
          <w:sz w:val="22"/>
          <w:szCs w:val="22"/>
        </w:rPr>
        <w:t>Journal of Urban Economics,</w:t>
      </w:r>
      <w:r w:rsidRPr="00F42D88">
        <w:rPr>
          <w:sz w:val="22"/>
          <w:szCs w:val="22"/>
        </w:rPr>
        <w:t xml:space="preserve"> Vol. 22 (1), 1987, pp. 90 – 100.</w:t>
      </w:r>
    </w:p>
    <w:p w:rsidR="00B4420B" w:rsidRPr="00F42D88" w:rsidRDefault="00B4420B" w:rsidP="003B65CD">
      <w:pPr>
        <w:pStyle w:val="EndnoteText"/>
        <w:spacing w:line="240" w:lineRule="auto"/>
        <w:ind w:left="90" w:hanging="90"/>
        <w:rPr>
          <w:sz w:val="22"/>
          <w:szCs w:val="22"/>
        </w:rPr>
      </w:pPr>
    </w:p>
    <w:p w:rsidR="00CC41E6" w:rsidRPr="00F42D88" w:rsidRDefault="00CC41E6" w:rsidP="003B65CD">
      <w:pPr>
        <w:pStyle w:val="EndnoteText"/>
        <w:spacing w:line="240" w:lineRule="auto"/>
        <w:ind w:left="90" w:hanging="90"/>
        <w:rPr>
          <w:sz w:val="22"/>
          <w:szCs w:val="22"/>
        </w:rPr>
      </w:pPr>
      <w:proofErr w:type="spellStart"/>
      <w:r w:rsidRPr="00F42D88">
        <w:rPr>
          <w:sz w:val="22"/>
          <w:szCs w:val="22"/>
        </w:rPr>
        <w:t>Sivitanides</w:t>
      </w:r>
      <w:proofErr w:type="spellEnd"/>
      <w:r w:rsidRPr="00F42D88">
        <w:rPr>
          <w:sz w:val="22"/>
          <w:szCs w:val="22"/>
        </w:rPr>
        <w:t xml:space="preserve">, </w:t>
      </w:r>
      <w:proofErr w:type="spellStart"/>
      <w:r w:rsidRPr="00F42D88">
        <w:rPr>
          <w:sz w:val="22"/>
          <w:szCs w:val="22"/>
        </w:rPr>
        <w:t>Petros</w:t>
      </w:r>
      <w:proofErr w:type="spellEnd"/>
      <w:r w:rsidRPr="00F42D88">
        <w:rPr>
          <w:sz w:val="22"/>
          <w:szCs w:val="22"/>
        </w:rPr>
        <w:t xml:space="preserve"> S., “The Rent Adjustment Process and the Structural Vacancy Rate in the Commercial Real Estate Market”, </w:t>
      </w:r>
      <w:r w:rsidRPr="00F42D88">
        <w:rPr>
          <w:i/>
          <w:sz w:val="22"/>
          <w:szCs w:val="22"/>
        </w:rPr>
        <w:t>Journal of Real Estate Research</w:t>
      </w:r>
      <w:r w:rsidRPr="00F42D88">
        <w:rPr>
          <w:sz w:val="22"/>
          <w:szCs w:val="22"/>
        </w:rPr>
        <w:t>, Vol. 13, No. 2, 1997, pp.195 – 209.</w:t>
      </w:r>
    </w:p>
    <w:p w:rsidR="00CC41E6" w:rsidRPr="00F42D88" w:rsidRDefault="00CC41E6" w:rsidP="003B65CD">
      <w:pPr>
        <w:pStyle w:val="EndnoteText"/>
        <w:spacing w:line="240" w:lineRule="auto"/>
        <w:ind w:left="90" w:hanging="90"/>
        <w:rPr>
          <w:sz w:val="22"/>
          <w:szCs w:val="22"/>
        </w:rPr>
      </w:pPr>
    </w:p>
    <w:p w:rsidR="003B65CD" w:rsidRPr="00F42D88" w:rsidRDefault="003B65CD" w:rsidP="003B65CD">
      <w:pPr>
        <w:pStyle w:val="EndnoteText"/>
        <w:spacing w:line="240" w:lineRule="auto"/>
        <w:ind w:left="90" w:hanging="90"/>
        <w:rPr>
          <w:sz w:val="22"/>
          <w:szCs w:val="22"/>
        </w:rPr>
      </w:pPr>
      <w:r w:rsidRPr="00F42D88">
        <w:rPr>
          <w:sz w:val="22"/>
          <w:szCs w:val="22"/>
        </w:rPr>
        <w:t xml:space="preserve">Smith, Lawrence B., “A Note on the Price Adjustment Mechanism for Rental Housing”, </w:t>
      </w:r>
      <w:r w:rsidRPr="00F42D88">
        <w:rPr>
          <w:i/>
          <w:sz w:val="22"/>
          <w:szCs w:val="22"/>
        </w:rPr>
        <w:t xml:space="preserve">American Economic Review, </w:t>
      </w:r>
      <w:r w:rsidRPr="00F42D88">
        <w:rPr>
          <w:sz w:val="22"/>
          <w:szCs w:val="22"/>
        </w:rPr>
        <w:t>Vol. 64, No. 3, 1974, p</w:t>
      </w:r>
      <w:r w:rsidR="00B4420B" w:rsidRPr="00F42D88">
        <w:rPr>
          <w:sz w:val="22"/>
          <w:szCs w:val="22"/>
        </w:rPr>
        <w:t>p.</w:t>
      </w:r>
      <w:r w:rsidRPr="00F42D88">
        <w:rPr>
          <w:sz w:val="22"/>
          <w:szCs w:val="22"/>
        </w:rPr>
        <w:t xml:space="preserve"> 478</w:t>
      </w:r>
      <w:r w:rsidR="00B4420B" w:rsidRPr="00F42D88">
        <w:rPr>
          <w:sz w:val="22"/>
          <w:szCs w:val="22"/>
        </w:rPr>
        <w:t xml:space="preserve"> - 481</w:t>
      </w:r>
    </w:p>
    <w:p w:rsidR="003B65CD" w:rsidRPr="00F42D88" w:rsidRDefault="003B65CD" w:rsidP="003B65CD">
      <w:pPr>
        <w:pStyle w:val="EndnoteText"/>
        <w:spacing w:line="240" w:lineRule="auto"/>
        <w:rPr>
          <w:sz w:val="22"/>
          <w:szCs w:val="22"/>
        </w:rPr>
      </w:pPr>
    </w:p>
    <w:p w:rsidR="003B65CD" w:rsidRPr="00F42D88" w:rsidRDefault="003B65CD" w:rsidP="003B65CD">
      <w:pPr>
        <w:pStyle w:val="EndnoteText"/>
        <w:spacing w:line="240" w:lineRule="auto"/>
        <w:rPr>
          <w:sz w:val="22"/>
          <w:szCs w:val="22"/>
        </w:rPr>
      </w:pPr>
      <w:proofErr w:type="spellStart"/>
      <w:proofErr w:type="gramStart"/>
      <w:r w:rsidRPr="00F42D88">
        <w:rPr>
          <w:sz w:val="22"/>
          <w:szCs w:val="22"/>
        </w:rPr>
        <w:t>Thoma</w:t>
      </w:r>
      <w:proofErr w:type="spellEnd"/>
      <w:r w:rsidRPr="00F42D88">
        <w:rPr>
          <w:sz w:val="22"/>
          <w:szCs w:val="22"/>
        </w:rPr>
        <w:t xml:space="preserve">, Mark, “The Natural Vacancy Rate for Housing,” </w:t>
      </w:r>
      <w:r w:rsidRPr="00F42D88">
        <w:rPr>
          <w:i/>
          <w:sz w:val="22"/>
          <w:szCs w:val="22"/>
        </w:rPr>
        <w:t>Economist’s View</w:t>
      </w:r>
      <w:r w:rsidRPr="00F42D88">
        <w:rPr>
          <w:sz w:val="22"/>
          <w:szCs w:val="22"/>
        </w:rPr>
        <w:t>, blog, November 29, 200</w:t>
      </w:r>
      <w:r w:rsidR="004A3515">
        <w:rPr>
          <w:sz w:val="22"/>
          <w:szCs w:val="22"/>
        </w:rPr>
        <w:t>5</w:t>
      </w:r>
      <w:r w:rsidRPr="00F42D88">
        <w:rPr>
          <w:sz w:val="22"/>
          <w:szCs w:val="22"/>
        </w:rPr>
        <w:t>.</w:t>
      </w:r>
      <w:proofErr w:type="gramEnd"/>
    </w:p>
    <w:p w:rsidR="003B65CD" w:rsidRPr="00F42D88" w:rsidRDefault="003B65CD" w:rsidP="003B65CD">
      <w:pPr>
        <w:pStyle w:val="EndnoteText"/>
        <w:spacing w:line="240" w:lineRule="auto"/>
        <w:rPr>
          <w:sz w:val="22"/>
          <w:szCs w:val="22"/>
        </w:rPr>
      </w:pPr>
      <w:r w:rsidRPr="00F42D88">
        <w:rPr>
          <w:sz w:val="22"/>
          <w:szCs w:val="22"/>
        </w:rPr>
        <w:t xml:space="preserve">   </w:t>
      </w:r>
    </w:p>
    <w:p w:rsidR="003B65CD" w:rsidRPr="00F42D88" w:rsidRDefault="003B65CD" w:rsidP="00674F0C">
      <w:pPr>
        <w:pStyle w:val="EndnoteText"/>
        <w:spacing w:line="240" w:lineRule="auto"/>
        <w:ind w:left="90" w:hanging="90"/>
        <w:rPr>
          <w:sz w:val="22"/>
          <w:szCs w:val="22"/>
        </w:rPr>
      </w:pPr>
      <w:proofErr w:type="spellStart"/>
      <w:r w:rsidRPr="00F42D88">
        <w:rPr>
          <w:sz w:val="22"/>
          <w:szCs w:val="22"/>
        </w:rPr>
        <w:t>Sumichrast</w:t>
      </w:r>
      <w:proofErr w:type="spellEnd"/>
      <w:r w:rsidRPr="00F42D88">
        <w:rPr>
          <w:sz w:val="22"/>
          <w:szCs w:val="22"/>
        </w:rPr>
        <w:t xml:space="preserve">, </w:t>
      </w:r>
      <w:proofErr w:type="gramStart"/>
      <w:r w:rsidRPr="00F42D88">
        <w:rPr>
          <w:sz w:val="22"/>
          <w:szCs w:val="22"/>
        </w:rPr>
        <w:t>Michael  “</w:t>
      </w:r>
      <w:proofErr w:type="gramEnd"/>
      <w:r w:rsidRPr="00F42D88">
        <w:rPr>
          <w:sz w:val="22"/>
          <w:szCs w:val="22"/>
        </w:rPr>
        <w:t xml:space="preserve">Housing Market Analyses,” as reprinted in </w:t>
      </w:r>
      <w:r w:rsidRPr="00F42D88">
        <w:rPr>
          <w:i/>
          <w:sz w:val="22"/>
          <w:szCs w:val="22"/>
        </w:rPr>
        <w:t>Readings in Market Research for Real Estate</w:t>
      </w:r>
      <w:r w:rsidRPr="00F42D88">
        <w:rPr>
          <w:sz w:val="22"/>
          <w:szCs w:val="22"/>
        </w:rPr>
        <w:t>, edited by James Vernor, Appraisal Institute, 1985, p. 69.</w:t>
      </w:r>
    </w:p>
    <w:p w:rsidR="003B65CD" w:rsidRPr="00F42D88" w:rsidRDefault="003B65CD" w:rsidP="003B65CD">
      <w:pPr>
        <w:pStyle w:val="EndnoteText"/>
        <w:spacing w:line="240" w:lineRule="auto"/>
        <w:rPr>
          <w:sz w:val="22"/>
          <w:szCs w:val="22"/>
        </w:rPr>
      </w:pPr>
      <w:r w:rsidRPr="00F42D88">
        <w:rPr>
          <w:sz w:val="22"/>
          <w:szCs w:val="22"/>
        </w:rPr>
        <w:t xml:space="preserve"> </w:t>
      </w:r>
    </w:p>
    <w:p w:rsidR="00CC41E6" w:rsidRPr="00F42D88" w:rsidRDefault="00CC41E6" w:rsidP="00674F0C">
      <w:pPr>
        <w:pStyle w:val="EndnoteText"/>
        <w:spacing w:line="240" w:lineRule="auto"/>
        <w:ind w:left="90" w:hanging="90"/>
        <w:rPr>
          <w:sz w:val="22"/>
          <w:szCs w:val="22"/>
        </w:rPr>
      </w:pPr>
      <w:proofErr w:type="spellStart"/>
      <w:r w:rsidRPr="00F42D88">
        <w:rPr>
          <w:sz w:val="22"/>
          <w:szCs w:val="22"/>
        </w:rPr>
        <w:t>Voith</w:t>
      </w:r>
      <w:proofErr w:type="spellEnd"/>
      <w:r w:rsidRPr="00F42D88">
        <w:rPr>
          <w:sz w:val="22"/>
          <w:szCs w:val="22"/>
        </w:rPr>
        <w:t>, Richard &amp; Crone, Theodore, “National Vacancy Rates and the Persistence of Shocks in the U.S. Office Markets”</w:t>
      </w:r>
      <w:r w:rsidRPr="00F42D88">
        <w:rPr>
          <w:i/>
          <w:sz w:val="22"/>
          <w:szCs w:val="22"/>
        </w:rPr>
        <w:t>, AREUEA Journal</w:t>
      </w:r>
      <w:r w:rsidRPr="00F42D88">
        <w:rPr>
          <w:sz w:val="22"/>
          <w:szCs w:val="22"/>
        </w:rPr>
        <w:t xml:space="preserve">, </w:t>
      </w:r>
      <w:proofErr w:type="spellStart"/>
      <w:r w:rsidRPr="00F42D88">
        <w:rPr>
          <w:sz w:val="22"/>
          <w:szCs w:val="22"/>
        </w:rPr>
        <w:t>Vol</w:t>
      </w:r>
      <w:proofErr w:type="spellEnd"/>
      <w:r w:rsidRPr="00F42D88">
        <w:rPr>
          <w:sz w:val="22"/>
          <w:szCs w:val="22"/>
        </w:rPr>
        <w:t xml:space="preserve"> 16, No. 4, 1988, pp. 437 – 458.</w:t>
      </w:r>
      <w:r w:rsidRPr="00F42D88">
        <w:rPr>
          <w:i/>
          <w:sz w:val="22"/>
          <w:szCs w:val="22"/>
        </w:rPr>
        <w:t xml:space="preserve"> </w:t>
      </w:r>
    </w:p>
    <w:p w:rsidR="00CC41E6" w:rsidRPr="00F42D88" w:rsidRDefault="00CC41E6" w:rsidP="00CC41E6">
      <w:pPr>
        <w:pStyle w:val="EndnoteText"/>
        <w:spacing w:line="240" w:lineRule="auto"/>
        <w:ind w:left="187" w:hanging="187"/>
        <w:rPr>
          <w:sz w:val="22"/>
          <w:szCs w:val="22"/>
        </w:rPr>
      </w:pPr>
    </w:p>
    <w:p w:rsidR="00CC41E6" w:rsidRPr="00B4420B" w:rsidRDefault="003B65CD" w:rsidP="00674F0C">
      <w:pPr>
        <w:pStyle w:val="EndnoteText"/>
        <w:spacing w:line="240" w:lineRule="auto"/>
        <w:ind w:left="90" w:hanging="90"/>
        <w:rPr>
          <w:sz w:val="18"/>
          <w:szCs w:val="18"/>
        </w:rPr>
      </w:pPr>
      <w:proofErr w:type="gramStart"/>
      <w:r w:rsidRPr="00F42D88">
        <w:rPr>
          <w:sz w:val="22"/>
          <w:szCs w:val="22"/>
        </w:rPr>
        <w:t>Wheaton</w:t>
      </w:r>
      <w:r w:rsidR="00CC41E6" w:rsidRPr="00F42D88">
        <w:rPr>
          <w:sz w:val="22"/>
          <w:szCs w:val="22"/>
        </w:rPr>
        <w:t xml:space="preserve">, William C. &amp; </w:t>
      </w:r>
      <w:proofErr w:type="spellStart"/>
      <w:r w:rsidRPr="00F42D88">
        <w:rPr>
          <w:sz w:val="22"/>
          <w:szCs w:val="22"/>
        </w:rPr>
        <w:t>Torto</w:t>
      </w:r>
      <w:proofErr w:type="spellEnd"/>
      <w:r w:rsidR="00CC41E6" w:rsidRPr="00F42D88">
        <w:rPr>
          <w:sz w:val="22"/>
          <w:szCs w:val="22"/>
        </w:rPr>
        <w:t>, Raymond G.</w:t>
      </w:r>
      <w:proofErr w:type="gramEnd"/>
      <w:r w:rsidR="00CC41E6" w:rsidRPr="00F42D88">
        <w:rPr>
          <w:sz w:val="22"/>
          <w:szCs w:val="22"/>
        </w:rPr>
        <w:t xml:space="preserve"> </w:t>
      </w:r>
      <w:r w:rsidRPr="00F42D88">
        <w:rPr>
          <w:sz w:val="22"/>
          <w:szCs w:val="22"/>
        </w:rPr>
        <w:t xml:space="preserve"> </w:t>
      </w:r>
      <w:r w:rsidR="00CC41E6" w:rsidRPr="00F42D88">
        <w:rPr>
          <w:sz w:val="22"/>
          <w:szCs w:val="22"/>
        </w:rPr>
        <w:t>“Vacancy Rates and the Future of Office Rents”</w:t>
      </w:r>
      <w:r w:rsidR="00CC41E6" w:rsidRPr="00F42D88">
        <w:rPr>
          <w:i/>
          <w:sz w:val="22"/>
          <w:szCs w:val="22"/>
        </w:rPr>
        <w:t>, AREUEA Journal</w:t>
      </w:r>
      <w:r w:rsidR="00CC41E6" w:rsidRPr="00F42D88">
        <w:rPr>
          <w:sz w:val="22"/>
          <w:szCs w:val="22"/>
        </w:rPr>
        <w:t xml:space="preserve">, </w:t>
      </w:r>
      <w:proofErr w:type="spellStart"/>
      <w:r w:rsidR="00CC41E6" w:rsidRPr="00F42D88">
        <w:rPr>
          <w:sz w:val="22"/>
          <w:szCs w:val="22"/>
        </w:rPr>
        <w:t>Vol</w:t>
      </w:r>
      <w:proofErr w:type="spellEnd"/>
      <w:r w:rsidR="00CC41E6" w:rsidRPr="00F42D88">
        <w:rPr>
          <w:sz w:val="22"/>
          <w:szCs w:val="22"/>
        </w:rPr>
        <w:t xml:space="preserve"> 16, No. 4, 1988, pp. 430 – 436.</w:t>
      </w:r>
      <w:r w:rsidR="00CC41E6">
        <w:rPr>
          <w:i/>
          <w:sz w:val="18"/>
          <w:szCs w:val="18"/>
        </w:rPr>
        <w:t xml:space="preserve"> </w:t>
      </w:r>
    </w:p>
    <w:sectPr w:rsidR="00CC41E6" w:rsidRPr="00B4420B" w:rsidSect="00314564">
      <w:footerReference w:type="default" r:id="rId22"/>
      <w:endnotePr>
        <w:numFmt w:val="decimal"/>
      </w:endnotePr>
      <w:pgSz w:w="12240" w:h="15840" w:code="1"/>
      <w:pgMar w:top="1440" w:right="1440" w:bottom="1440" w:left="1440" w:header="720" w:footer="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9A" w:rsidRDefault="009B619A" w:rsidP="00673E51">
      <w:r>
        <w:separator/>
      </w:r>
    </w:p>
  </w:endnote>
  <w:endnote w:type="continuationSeparator" w:id="0">
    <w:p w:rsidR="009B619A" w:rsidRDefault="009B619A" w:rsidP="0067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35263"/>
      <w:docPartObj>
        <w:docPartGallery w:val="Page Numbers (Bottom of Page)"/>
        <w:docPartUnique/>
      </w:docPartObj>
    </w:sdtPr>
    <w:sdtEndPr/>
    <w:sdtContent>
      <w:p w:rsidR="00897146" w:rsidRDefault="00897146" w:rsidP="00046225">
        <w:pPr>
          <w:pStyle w:val="Footer"/>
          <w:jc w:val="right"/>
        </w:pPr>
        <w:r>
          <w:t xml:space="preserve">Page </w:t>
        </w:r>
        <w:r w:rsidR="009B619A">
          <w:fldChar w:fldCharType="begin"/>
        </w:r>
        <w:r w:rsidR="009B619A">
          <w:instrText xml:space="preserve"> PAGE</w:instrText>
        </w:r>
        <w:r w:rsidR="009B619A">
          <w:instrText xml:space="preserve">   \* MERGEFORMAT </w:instrText>
        </w:r>
        <w:r w:rsidR="009B619A">
          <w:fldChar w:fldCharType="separate"/>
        </w:r>
        <w:r w:rsidR="007850C6">
          <w:rPr>
            <w:noProof/>
          </w:rPr>
          <w:t>1</w:t>
        </w:r>
        <w:r w:rsidR="009B619A">
          <w:rPr>
            <w:noProof/>
          </w:rPr>
          <w:fldChar w:fldCharType="end"/>
        </w:r>
      </w:p>
    </w:sdtContent>
  </w:sdt>
  <w:p w:rsidR="00897146" w:rsidRDefault="00897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9A" w:rsidRDefault="009B619A" w:rsidP="00673E51">
      <w:r>
        <w:separator/>
      </w:r>
    </w:p>
  </w:footnote>
  <w:footnote w:type="continuationSeparator" w:id="0">
    <w:p w:rsidR="009B619A" w:rsidRDefault="009B619A" w:rsidP="00673E51">
      <w:r>
        <w:continuationSeparator/>
      </w:r>
    </w:p>
  </w:footnote>
  <w:footnote w:id="1">
    <w:p w:rsidR="00897146" w:rsidRPr="001549B8" w:rsidRDefault="00897146" w:rsidP="00DC5C9A">
      <w:pPr>
        <w:pStyle w:val="FootnoteText"/>
        <w:spacing w:line="240" w:lineRule="auto"/>
        <w:rPr>
          <w:sz w:val="18"/>
          <w:szCs w:val="18"/>
        </w:rPr>
      </w:pPr>
      <w:r>
        <w:rPr>
          <w:rStyle w:val="FootnoteReference"/>
        </w:rPr>
        <w:footnoteRef/>
      </w:r>
      <w:r>
        <w:t xml:space="preserve"> </w:t>
      </w:r>
      <w:proofErr w:type="gramStart"/>
      <w:r>
        <w:rPr>
          <w:sz w:val="18"/>
          <w:szCs w:val="18"/>
        </w:rPr>
        <w:t xml:space="preserve">Fanning, Stephen F., MAI, </w:t>
      </w:r>
      <w:r>
        <w:rPr>
          <w:sz w:val="18"/>
          <w:szCs w:val="18"/>
          <w:u w:val="single"/>
        </w:rPr>
        <w:t>Market Analysis for Real Estate</w:t>
      </w:r>
      <w:r>
        <w:rPr>
          <w:sz w:val="18"/>
          <w:szCs w:val="18"/>
        </w:rPr>
        <w:t>, Appraisal Institute, 2005, p. 256.</w:t>
      </w:r>
      <w:proofErr w:type="gramEnd"/>
    </w:p>
  </w:footnote>
  <w:footnote w:id="2">
    <w:p w:rsidR="00897146" w:rsidRPr="00C8211E" w:rsidRDefault="00897146" w:rsidP="00DC5C9A">
      <w:pPr>
        <w:pStyle w:val="FootnoteText"/>
        <w:spacing w:line="240" w:lineRule="auto"/>
        <w:rPr>
          <w:sz w:val="18"/>
          <w:szCs w:val="18"/>
        </w:rPr>
      </w:pPr>
      <w:r>
        <w:rPr>
          <w:rStyle w:val="FootnoteReference"/>
        </w:rPr>
        <w:footnoteRef/>
      </w:r>
      <w:r>
        <w:t xml:space="preserve">  </w:t>
      </w:r>
      <w:r>
        <w:rPr>
          <w:sz w:val="18"/>
          <w:szCs w:val="18"/>
          <w:u w:val="single"/>
        </w:rPr>
        <w:t>Dictionary of Real Estate Appraisal</w:t>
      </w:r>
      <w:r>
        <w:rPr>
          <w:sz w:val="18"/>
          <w:szCs w:val="18"/>
        </w:rPr>
        <w:t>, Appraisal Institute, 5</w:t>
      </w:r>
      <w:r w:rsidRPr="00C8211E">
        <w:rPr>
          <w:sz w:val="18"/>
          <w:szCs w:val="18"/>
          <w:vertAlign w:val="superscript"/>
        </w:rPr>
        <w:t>th</w:t>
      </w:r>
      <w:r>
        <w:rPr>
          <w:sz w:val="18"/>
          <w:szCs w:val="18"/>
        </w:rPr>
        <w:t xml:space="preserve"> ed., p. 121.</w:t>
      </w:r>
    </w:p>
  </w:footnote>
  <w:footnote w:id="3">
    <w:p w:rsidR="00897146" w:rsidRPr="00E005D7" w:rsidRDefault="00897146" w:rsidP="00DC5C9A">
      <w:pPr>
        <w:pStyle w:val="FootnoteText"/>
        <w:spacing w:line="240" w:lineRule="auto"/>
        <w:ind w:left="187" w:hanging="187"/>
        <w:rPr>
          <w:sz w:val="18"/>
          <w:szCs w:val="18"/>
        </w:rPr>
      </w:pPr>
      <w:r>
        <w:rPr>
          <w:rStyle w:val="FootnoteReference"/>
        </w:rPr>
        <w:footnoteRef/>
      </w:r>
      <w:r>
        <w:t xml:space="preserve">  </w:t>
      </w:r>
      <w:r>
        <w:rPr>
          <w:sz w:val="18"/>
          <w:szCs w:val="18"/>
        </w:rPr>
        <w:t xml:space="preserve">Hauser, P.M. &amp; Jaffe, A.J., “The Extent of the Housing Shortage”, </w:t>
      </w:r>
      <w:r w:rsidRPr="00E005D7">
        <w:rPr>
          <w:sz w:val="18"/>
          <w:szCs w:val="18"/>
        </w:rPr>
        <w:t>Law &amp; Contemporary Problems;</w:t>
      </w:r>
      <w:r>
        <w:rPr>
          <w:sz w:val="18"/>
          <w:szCs w:val="18"/>
        </w:rPr>
        <w:t xml:space="preserve"> </w:t>
      </w:r>
      <w:r w:rsidRPr="00E005D7">
        <w:rPr>
          <w:sz w:val="18"/>
          <w:szCs w:val="18"/>
        </w:rPr>
        <w:t>Winter1947, Vol. 12 Issue 1, p3</w:t>
      </w:r>
    </w:p>
  </w:footnote>
  <w:footnote w:id="4">
    <w:p w:rsidR="00897146" w:rsidRPr="00A6694E" w:rsidRDefault="00897146" w:rsidP="00076ABA">
      <w:pPr>
        <w:pStyle w:val="FootnoteText"/>
        <w:spacing w:line="240" w:lineRule="auto"/>
        <w:ind w:left="180" w:hanging="180"/>
        <w:rPr>
          <w:sz w:val="18"/>
          <w:szCs w:val="18"/>
        </w:rPr>
      </w:pPr>
      <w:r>
        <w:rPr>
          <w:rStyle w:val="FootnoteReference"/>
        </w:rPr>
        <w:footnoteRef/>
      </w:r>
      <w:r>
        <w:t xml:space="preserve">  </w:t>
      </w:r>
      <w:r>
        <w:rPr>
          <w:sz w:val="18"/>
          <w:szCs w:val="18"/>
        </w:rPr>
        <w:t xml:space="preserve">Friedman, Milton, “The Role of Monetary Policy”, </w:t>
      </w:r>
      <w:r>
        <w:rPr>
          <w:i/>
          <w:sz w:val="18"/>
          <w:szCs w:val="18"/>
        </w:rPr>
        <w:t>The American Economic Review</w:t>
      </w:r>
      <w:r>
        <w:rPr>
          <w:sz w:val="18"/>
          <w:szCs w:val="18"/>
        </w:rPr>
        <w:t xml:space="preserve">, Volume LVIII, Number 1, March 1968, p. 8.  </w:t>
      </w:r>
    </w:p>
  </w:footnote>
  <w:footnote w:id="5">
    <w:p w:rsidR="00897146" w:rsidRPr="00EE2686" w:rsidRDefault="00897146" w:rsidP="00065B5E">
      <w:pPr>
        <w:pStyle w:val="FootnoteText"/>
        <w:spacing w:line="240" w:lineRule="auto"/>
        <w:ind w:left="180" w:hanging="180"/>
        <w:rPr>
          <w:sz w:val="18"/>
          <w:szCs w:val="18"/>
        </w:rPr>
      </w:pPr>
      <w:r>
        <w:rPr>
          <w:rStyle w:val="FootnoteReference"/>
        </w:rPr>
        <w:footnoteRef/>
      </w:r>
      <w:r>
        <w:t xml:space="preserve"> </w:t>
      </w:r>
      <w:r>
        <w:rPr>
          <w:sz w:val="18"/>
          <w:szCs w:val="18"/>
        </w:rPr>
        <w:t xml:space="preserve">Smith, Lawrence B., “A note on the Price Adjustment Mechanism for Rental Housing”, </w:t>
      </w:r>
      <w:r>
        <w:rPr>
          <w:i/>
          <w:sz w:val="18"/>
          <w:szCs w:val="18"/>
        </w:rPr>
        <w:t>The American Economic Review</w:t>
      </w:r>
      <w:r>
        <w:rPr>
          <w:sz w:val="18"/>
          <w:szCs w:val="18"/>
        </w:rPr>
        <w:t>, June 1974, p. 481.</w:t>
      </w:r>
    </w:p>
  </w:footnote>
  <w:footnote w:id="6">
    <w:p w:rsidR="00897146" w:rsidRPr="00076ABA" w:rsidRDefault="00897146" w:rsidP="00076ABA">
      <w:pPr>
        <w:pStyle w:val="FootnoteText"/>
        <w:spacing w:line="240" w:lineRule="auto"/>
        <w:ind w:left="187" w:hanging="187"/>
        <w:rPr>
          <w:sz w:val="18"/>
          <w:szCs w:val="18"/>
        </w:rPr>
      </w:pPr>
      <w:r>
        <w:rPr>
          <w:rStyle w:val="FootnoteReference"/>
        </w:rPr>
        <w:footnoteRef/>
      </w:r>
      <w:r>
        <w:t xml:space="preserve"> </w:t>
      </w:r>
      <w:r>
        <w:rPr>
          <w:sz w:val="18"/>
          <w:szCs w:val="18"/>
        </w:rPr>
        <w:t>Rosen, Kenneth T. and Smith, Lawrence B., “The Price Adjustment Process for Rental Housing and the Natural Vacancy Rate”,</w:t>
      </w:r>
      <w:r w:rsidRPr="00076ABA">
        <w:rPr>
          <w:i/>
          <w:sz w:val="18"/>
          <w:szCs w:val="18"/>
        </w:rPr>
        <w:t xml:space="preserve"> </w:t>
      </w:r>
      <w:proofErr w:type="gramStart"/>
      <w:r w:rsidRPr="00076ABA">
        <w:rPr>
          <w:i/>
          <w:sz w:val="18"/>
          <w:szCs w:val="18"/>
        </w:rPr>
        <w:t>The</w:t>
      </w:r>
      <w:proofErr w:type="gramEnd"/>
      <w:r w:rsidRPr="00076ABA">
        <w:rPr>
          <w:i/>
          <w:sz w:val="18"/>
          <w:szCs w:val="18"/>
        </w:rPr>
        <w:t xml:space="preserve"> American Economic Review</w:t>
      </w:r>
      <w:r>
        <w:rPr>
          <w:sz w:val="18"/>
          <w:szCs w:val="18"/>
        </w:rPr>
        <w:t>, September 2983, pp. 779 – 786.</w:t>
      </w:r>
    </w:p>
  </w:footnote>
  <w:footnote w:id="7">
    <w:p w:rsidR="00897146" w:rsidRPr="005F708B" w:rsidRDefault="00897146" w:rsidP="000B5B81">
      <w:pPr>
        <w:pStyle w:val="FootnoteText"/>
        <w:spacing w:line="240" w:lineRule="auto"/>
        <w:rPr>
          <w:sz w:val="18"/>
          <w:szCs w:val="18"/>
        </w:rPr>
      </w:pPr>
      <w:r>
        <w:rPr>
          <w:rStyle w:val="FootnoteReference"/>
        </w:rPr>
        <w:footnoteRef/>
      </w:r>
      <w:r>
        <w:t xml:space="preserve"> </w:t>
      </w:r>
      <w:r>
        <w:rPr>
          <w:sz w:val="18"/>
          <w:szCs w:val="18"/>
        </w:rPr>
        <w:t xml:space="preserve">Clapp, John M. </w:t>
      </w:r>
      <w:r w:rsidRPr="00691D7C">
        <w:rPr>
          <w:sz w:val="18"/>
          <w:szCs w:val="18"/>
          <w:u w:val="single"/>
        </w:rPr>
        <w:t>Handbook for Real Estate Market Analysis</w:t>
      </w:r>
      <w:r>
        <w:rPr>
          <w:i/>
          <w:sz w:val="18"/>
          <w:szCs w:val="18"/>
        </w:rPr>
        <w:t xml:space="preserve">, </w:t>
      </w:r>
      <w:r w:rsidRPr="005F708B">
        <w:rPr>
          <w:sz w:val="18"/>
          <w:szCs w:val="18"/>
        </w:rPr>
        <w:t>Prentice-Hall, Inc., 1987, p. 78</w:t>
      </w:r>
    </w:p>
  </w:footnote>
  <w:footnote w:id="8">
    <w:p w:rsidR="00897146" w:rsidRPr="004E0B3C" w:rsidRDefault="00897146" w:rsidP="00C0726A">
      <w:pPr>
        <w:pStyle w:val="FootnoteText"/>
        <w:spacing w:line="240" w:lineRule="auto"/>
        <w:ind w:left="270" w:hanging="270"/>
        <w:rPr>
          <w:sz w:val="18"/>
          <w:szCs w:val="18"/>
        </w:rPr>
      </w:pPr>
      <w:r>
        <w:rPr>
          <w:rStyle w:val="FootnoteReference"/>
        </w:rPr>
        <w:footnoteRef/>
      </w:r>
      <w:r>
        <w:t xml:space="preserve"> </w:t>
      </w:r>
      <w:r>
        <w:rPr>
          <w:sz w:val="18"/>
          <w:szCs w:val="18"/>
        </w:rPr>
        <w:t>Downs, Anthony</w:t>
      </w:r>
      <w:proofErr w:type="gramStart"/>
      <w:r>
        <w:rPr>
          <w:sz w:val="18"/>
          <w:szCs w:val="18"/>
        </w:rPr>
        <w:t>, ”</w:t>
      </w:r>
      <w:proofErr w:type="gramEnd"/>
      <w:r w:rsidRPr="004E0B3C">
        <w:rPr>
          <w:sz w:val="18"/>
          <w:szCs w:val="18"/>
        </w:rPr>
        <w:t>Cycles in Office Space Markets</w:t>
      </w:r>
      <w:r>
        <w:rPr>
          <w:sz w:val="18"/>
          <w:szCs w:val="18"/>
        </w:rPr>
        <w:t xml:space="preserve">,” </w:t>
      </w:r>
      <w:r>
        <w:rPr>
          <w:i/>
          <w:sz w:val="18"/>
          <w:szCs w:val="18"/>
        </w:rPr>
        <w:t xml:space="preserve"> The Office Building From Concept to Investment Reality,</w:t>
      </w:r>
      <w:r>
        <w:rPr>
          <w:sz w:val="18"/>
          <w:szCs w:val="18"/>
        </w:rPr>
        <w:t xml:space="preserve"> Counselors of Real Estate, et al., 1993, p. 161.</w:t>
      </w:r>
    </w:p>
  </w:footnote>
  <w:footnote w:id="9">
    <w:p w:rsidR="00F1320E" w:rsidRDefault="00F1320E">
      <w:pPr>
        <w:pStyle w:val="FootnoteText"/>
      </w:pPr>
      <w:r>
        <w:rPr>
          <w:rStyle w:val="FootnoteReference"/>
        </w:rPr>
        <w:footnoteRef/>
      </w:r>
      <w:r>
        <w:t xml:space="preserve"> See Dividend Capital Research at </w:t>
      </w:r>
      <w:hyperlink r:id="rId1" w:history="1">
        <w:r w:rsidRPr="007B0312">
          <w:rPr>
            <w:rStyle w:val="Hyperlink"/>
          </w:rPr>
          <w:t>http://www.dividendcapital.com/why-real-estate/market-cycle-reports/documents/Cycle_Monitor_12Q1_FINAL.pdf</w:t>
        </w:r>
      </w:hyperlink>
    </w:p>
  </w:footnote>
  <w:footnote w:id="10">
    <w:p w:rsidR="00897146" w:rsidRPr="00E06A56" w:rsidRDefault="00897146" w:rsidP="00CD39C2">
      <w:pPr>
        <w:pStyle w:val="FootnoteText"/>
        <w:spacing w:line="240" w:lineRule="auto"/>
        <w:ind w:left="270" w:hanging="270"/>
        <w:rPr>
          <w:sz w:val="18"/>
          <w:szCs w:val="18"/>
        </w:rPr>
      </w:pPr>
      <w:r>
        <w:rPr>
          <w:rStyle w:val="FootnoteReference"/>
        </w:rPr>
        <w:footnoteRef/>
      </w:r>
      <w:r>
        <w:t xml:space="preserve">  </w:t>
      </w:r>
      <w:r>
        <w:rPr>
          <w:sz w:val="18"/>
          <w:szCs w:val="18"/>
        </w:rPr>
        <w:t xml:space="preserve">Fanning, Stephen F., MAI, Grissom, Terry V., MAI, PhD, Pearson, Thomas D., MAI, PhD., </w:t>
      </w:r>
      <w:r w:rsidRPr="00691D7C">
        <w:rPr>
          <w:sz w:val="18"/>
          <w:szCs w:val="18"/>
          <w:u w:val="single"/>
        </w:rPr>
        <w:t>Market Analysis for Valuation Appraisals</w:t>
      </w:r>
      <w:r>
        <w:rPr>
          <w:i/>
          <w:sz w:val="18"/>
          <w:szCs w:val="18"/>
        </w:rPr>
        <w:t xml:space="preserve">, </w:t>
      </w:r>
      <w:r>
        <w:rPr>
          <w:sz w:val="18"/>
          <w:szCs w:val="18"/>
        </w:rPr>
        <w:t>Appraisal Institute, 1994, p. 241.</w:t>
      </w:r>
    </w:p>
  </w:footnote>
  <w:footnote w:id="11">
    <w:p w:rsidR="00897146" w:rsidRDefault="00897146" w:rsidP="00F44A35">
      <w:pPr>
        <w:pStyle w:val="FootnoteText"/>
        <w:spacing w:line="240" w:lineRule="auto"/>
        <w:ind w:left="270" w:hanging="270"/>
      </w:pPr>
      <w:r>
        <w:rPr>
          <w:rStyle w:val="FootnoteReference"/>
        </w:rPr>
        <w:footnoteRef/>
      </w:r>
      <w:r>
        <w:t xml:space="preserve">  </w:t>
      </w:r>
      <w:proofErr w:type="spellStart"/>
      <w:r>
        <w:rPr>
          <w:sz w:val="18"/>
          <w:szCs w:val="18"/>
        </w:rPr>
        <w:t>Geltner</w:t>
      </w:r>
      <w:proofErr w:type="spellEnd"/>
      <w:r>
        <w:rPr>
          <w:sz w:val="18"/>
          <w:szCs w:val="18"/>
        </w:rPr>
        <w:t xml:space="preserve">, David M., Miller, Norman G., Clayton, Jim, </w:t>
      </w:r>
      <w:proofErr w:type="spellStart"/>
      <w:r>
        <w:rPr>
          <w:sz w:val="18"/>
          <w:szCs w:val="18"/>
        </w:rPr>
        <w:t>Eichholtz</w:t>
      </w:r>
      <w:proofErr w:type="spellEnd"/>
      <w:r>
        <w:rPr>
          <w:sz w:val="18"/>
          <w:szCs w:val="18"/>
        </w:rPr>
        <w:t xml:space="preserve">, Piet, </w:t>
      </w:r>
      <w:r>
        <w:rPr>
          <w:sz w:val="18"/>
          <w:szCs w:val="18"/>
          <w:u w:val="single"/>
        </w:rPr>
        <w:t>Commercial Real Estate Analysis &amp; Investments</w:t>
      </w:r>
      <w:r>
        <w:rPr>
          <w:sz w:val="18"/>
          <w:szCs w:val="18"/>
        </w:rPr>
        <w:t>, Thomson South-Western, 2007, p. 105 -106.</w:t>
      </w:r>
    </w:p>
  </w:footnote>
  <w:footnote w:id="12">
    <w:p w:rsidR="00897146" w:rsidRPr="007C518F" w:rsidRDefault="00897146" w:rsidP="006042D3">
      <w:pPr>
        <w:pStyle w:val="FootnoteText"/>
        <w:spacing w:line="240" w:lineRule="auto"/>
        <w:rPr>
          <w:sz w:val="18"/>
          <w:szCs w:val="18"/>
        </w:rPr>
      </w:pPr>
      <w:r>
        <w:rPr>
          <w:rStyle w:val="FootnoteReference"/>
        </w:rPr>
        <w:footnoteRef/>
      </w:r>
      <w:r>
        <w:t xml:space="preserve"> </w:t>
      </w:r>
      <w:r>
        <w:rPr>
          <w:sz w:val="18"/>
          <w:szCs w:val="18"/>
        </w:rPr>
        <w:t xml:space="preserve"> The authors wish to express appreciation to Costar from providing invaluable assistance in this research.</w:t>
      </w:r>
    </w:p>
  </w:footnote>
  <w:footnote w:id="13">
    <w:p w:rsidR="00897146" w:rsidRDefault="00897146" w:rsidP="0090313E">
      <w:pPr>
        <w:pStyle w:val="FootnoteText"/>
        <w:spacing w:line="240" w:lineRule="auto"/>
        <w:ind w:left="274" w:hanging="274"/>
      </w:pPr>
      <w:r>
        <w:rPr>
          <w:rStyle w:val="FootnoteReference"/>
        </w:rPr>
        <w:footnoteRef/>
      </w:r>
      <w:r>
        <w:t xml:space="preserve">  </w:t>
      </w:r>
      <w:proofErr w:type="spellStart"/>
      <w:r>
        <w:rPr>
          <w:sz w:val="18"/>
          <w:szCs w:val="18"/>
        </w:rPr>
        <w:t>Geltner</w:t>
      </w:r>
      <w:proofErr w:type="spellEnd"/>
      <w:r>
        <w:rPr>
          <w:sz w:val="18"/>
          <w:szCs w:val="18"/>
        </w:rPr>
        <w:t xml:space="preserve">, David M., Miller, Norman G., Clayton, Jim, </w:t>
      </w:r>
      <w:proofErr w:type="spellStart"/>
      <w:r>
        <w:rPr>
          <w:sz w:val="18"/>
          <w:szCs w:val="18"/>
        </w:rPr>
        <w:t>Eichholt</w:t>
      </w:r>
      <w:proofErr w:type="spellEnd"/>
      <w:r>
        <w:rPr>
          <w:sz w:val="18"/>
          <w:szCs w:val="18"/>
        </w:rPr>
        <w:t xml:space="preserve">, Piet, </w:t>
      </w:r>
      <w:r>
        <w:rPr>
          <w:sz w:val="18"/>
          <w:szCs w:val="18"/>
          <w:u w:val="single"/>
        </w:rPr>
        <w:t>Commercial Real Estate Analysis &amp; Investments</w:t>
      </w:r>
      <w:r>
        <w:rPr>
          <w:sz w:val="18"/>
          <w:szCs w:val="18"/>
        </w:rPr>
        <w:t>, Thomson South-Western, 2007, p. 106.</w:t>
      </w:r>
    </w:p>
  </w:footnote>
  <w:footnote w:id="14">
    <w:p w:rsidR="00897146" w:rsidRPr="0090313E" w:rsidRDefault="00897146" w:rsidP="0090313E">
      <w:pPr>
        <w:pStyle w:val="FootnoteText"/>
        <w:spacing w:line="240" w:lineRule="auto"/>
        <w:rPr>
          <w:sz w:val="18"/>
          <w:szCs w:val="18"/>
        </w:rPr>
      </w:pPr>
      <w:r>
        <w:rPr>
          <w:rStyle w:val="FootnoteReference"/>
        </w:rPr>
        <w:footnoteRef/>
      </w:r>
      <w:r>
        <w:t xml:space="preserve">  </w:t>
      </w:r>
      <w:r>
        <w:rPr>
          <w:sz w:val="18"/>
          <w:szCs w:val="18"/>
        </w:rPr>
        <w:t>Charlotte is deflated at the regional level.</w:t>
      </w:r>
    </w:p>
  </w:footnote>
  <w:footnote w:id="15">
    <w:p w:rsidR="00897146" w:rsidRPr="00691D7C" w:rsidRDefault="00897146">
      <w:pPr>
        <w:pStyle w:val="FootnoteText"/>
        <w:rPr>
          <w:sz w:val="18"/>
          <w:szCs w:val="18"/>
        </w:rPr>
      </w:pPr>
      <w:r>
        <w:rPr>
          <w:rStyle w:val="FootnoteReference"/>
        </w:rPr>
        <w:footnoteRef/>
      </w:r>
      <w:r>
        <w:t xml:space="preserve"> </w:t>
      </w:r>
      <w:r>
        <w:rPr>
          <w:sz w:val="18"/>
          <w:szCs w:val="18"/>
        </w:rPr>
        <w:t xml:space="preserve">Clapp, John M., </w:t>
      </w:r>
      <w:r w:rsidRPr="00691D7C">
        <w:rPr>
          <w:sz w:val="18"/>
          <w:szCs w:val="18"/>
          <w:u w:val="single"/>
        </w:rPr>
        <w:t>Handbook for Real Estate Market Analysis,</w:t>
      </w:r>
      <w:r w:rsidRPr="005F708B">
        <w:rPr>
          <w:sz w:val="18"/>
          <w:szCs w:val="18"/>
        </w:rPr>
        <w:t xml:space="preserve"> </w:t>
      </w:r>
      <w:r>
        <w:rPr>
          <w:sz w:val="18"/>
          <w:szCs w:val="18"/>
        </w:rPr>
        <w:t>Prentice-Hall, Inc., 1987, p. 78.</w:t>
      </w:r>
    </w:p>
  </w:footnote>
  <w:footnote w:id="16">
    <w:p w:rsidR="00897146" w:rsidRPr="002750C9" w:rsidRDefault="00897146" w:rsidP="002750C9">
      <w:pPr>
        <w:pStyle w:val="FootnoteText"/>
        <w:spacing w:line="240" w:lineRule="auto"/>
        <w:ind w:left="270" w:hanging="270"/>
        <w:rPr>
          <w:sz w:val="18"/>
          <w:szCs w:val="18"/>
        </w:rPr>
      </w:pPr>
      <w:r>
        <w:rPr>
          <w:rStyle w:val="FootnoteReference"/>
        </w:rPr>
        <w:footnoteRef/>
      </w:r>
      <w:r>
        <w:t xml:space="preserve"> </w:t>
      </w:r>
      <w:r>
        <w:rPr>
          <w:sz w:val="18"/>
          <w:szCs w:val="18"/>
        </w:rPr>
        <w:t>The correlation coefficient for the nominal rent paired with the mean vacancy rate is 0.9994 while the coefficient for the real rent paired with the mean vacancy rate is 0.8072.</w:t>
      </w:r>
    </w:p>
  </w:footnote>
  <w:footnote w:id="17">
    <w:p w:rsidR="00897146" w:rsidRDefault="00897146" w:rsidP="004D57B4">
      <w:pPr>
        <w:pStyle w:val="FootnoteText"/>
        <w:spacing w:line="240" w:lineRule="auto"/>
        <w:ind w:left="274" w:hanging="274"/>
      </w:pPr>
      <w:r>
        <w:rPr>
          <w:rStyle w:val="FootnoteReference"/>
        </w:rPr>
        <w:footnoteRef/>
      </w:r>
      <w:r>
        <w:t xml:space="preserve">  </w:t>
      </w:r>
      <w:proofErr w:type="spellStart"/>
      <w:r>
        <w:rPr>
          <w:sz w:val="18"/>
          <w:szCs w:val="18"/>
        </w:rPr>
        <w:t>Geltner</w:t>
      </w:r>
      <w:proofErr w:type="spellEnd"/>
      <w:r>
        <w:rPr>
          <w:sz w:val="18"/>
          <w:szCs w:val="18"/>
        </w:rPr>
        <w:t xml:space="preserve">, David M., Miller, Norman G., Clayton, Jim, </w:t>
      </w:r>
      <w:proofErr w:type="spellStart"/>
      <w:r>
        <w:rPr>
          <w:sz w:val="18"/>
          <w:szCs w:val="18"/>
        </w:rPr>
        <w:t>Eichholtz</w:t>
      </w:r>
      <w:proofErr w:type="spellEnd"/>
      <w:r>
        <w:rPr>
          <w:sz w:val="18"/>
          <w:szCs w:val="18"/>
        </w:rPr>
        <w:t xml:space="preserve">, Piet, </w:t>
      </w:r>
      <w:r>
        <w:rPr>
          <w:sz w:val="18"/>
          <w:szCs w:val="18"/>
          <w:u w:val="single"/>
        </w:rPr>
        <w:t>Commercial Real Estate Analysis &amp; Investments</w:t>
      </w:r>
      <w:r>
        <w:rPr>
          <w:sz w:val="18"/>
          <w:szCs w:val="18"/>
        </w:rPr>
        <w:t>, Thomson South-Western, 2007, p.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85187"/>
    <w:multiLevelType w:val="hybridMultilevel"/>
    <w:tmpl w:val="D6BC9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990CD3"/>
    <w:multiLevelType w:val="hybridMultilevel"/>
    <w:tmpl w:val="684EDA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AFB09E2"/>
    <w:multiLevelType w:val="hybridMultilevel"/>
    <w:tmpl w:val="B92C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9704D69"/>
    <w:multiLevelType w:val="hybridMultilevel"/>
    <w:tmpl w:val="41F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15184C"/>
    <w:multiLevelType w:val="multilevel"/>
    <w:tmpl w:val="8A9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05290A"/>
    <w:multiLevelType w:val="hybridMultilevel"/>
    <w:tmpl w:val="61602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9"/>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00"/>
    <w:rsid w:val="00007600"/>
    <w:rsid w:val="00011A61"/>
    <w:rsid w:val="00012BA3"/>
    <w:rsid w:val="00021753"/>
    <w:rsid w:val="000219CF"/>
    <w:rsid w:val="00040F66"/>
    <w:rsid w:val="00046225"/>
    <w:rsid w:val="00046E88"/>
    <w:rsid w:val="00065B5E"/>
    <w:rsid w:val="00072FB7"/>
    <w:rsid w:val="0007335C"/>
    <w:rsid w:val="00073A55"/>
    <w:rsid w:val="00076ABA"/>
    <w:rsid w:val="0008084A"/>
    <w:rsid w:val="00080DB6"/>
    <w:rsid w:val="000822E0"/>
    <w:rsid w:val="00087400"/>
    <w:rsid w:val="00091E63"/>
    <w:rsid w:val="00092AD1"/>
    <w:rsid w:val="0009382A"/>
    <w:rsid w:val="00096F96"/>
    <w:rsid w:val="000B0D05"/>
    <w:rsid w:val="000B100D"/>
    <w:rsid w:val="000B5B81"/>
    <w:rsid w:val="000B619C"/>
    <w:rsid w:val="000C1B59"/>
    <w:rsid w:val="000E6C1F"/>
    <w:rsid w:val="000E791B"/>
    <w:rsid w:val="000F015D"/>
    <w:rsid w:val="000F2F5A"/>
    <w:rsid w:val="000F30D4"/>
    <w:rsid w:val="000F5A21"/>
    <w:rsid w:val="00101517"/>
    <w:rsid w:val="0011326A"/>
    <w:rsid w:val="00121800"/>
    <w:rsid w:val="0012207B"/>
    <w:rsid w:val="001275FD"/>
    <w:rsid w:val="00136665"/>
    <w:rsid w:val="001402DB"/>
    <w:rsid w:val="00142215"/>
    <w:rsid w:val="0015048D"/>
    <w:rsid w:val="001549B8"/>
    <w:rsid w:val="00155374"/>
    <w:rsid w:val="00173935"/>
    <w:rsid w:val="00175AF6"/>
    <w:rsid w:val="00176889"/>
    <w:rsid w:val="001817F1"/>
    <w:rsid w:val="0019105B"/>
    <w:rsid w:val="00193C36"/>
    <w:rsid w:val="001A286D"/>
    <w:rsid w:val="001A45C2"/>
    <w:rsid w:val="001A782A"/>
    <w:rsid w:val="001C4074"/>
    <w:rsid w:val="001E27B3"/>
    <w:rsid w:val="001E2BB2"/>
    <w:rsid w:val="001E2D2A"/>
    <w:rsid w:val="001E7847"/>
    <w:rsid w:val="00200D21"/>
    <w:rsid w:val="00201969"/>
    <w:rsid w:val="0021425D"/>
    <w:rsid w:val="00224006"/>
    <w:rsid w:val="00231595"/>
    <w:rsid w:val="0023231E"/>
    <w:rsid w:val="00234ACB"/>
    <w:rsid w:val="00252367"/>
    <w:rsid w:val="00252FDD"/>
    <w:rsid w:val="00254188"/>
    <w:rsid w:val="002605DF"/>
    <w:rsid w:val="00263143"/>
    <w:rsid w:val="00263DD5"/>
    <w:rsid w:val="002712F0"/>
    <w:rsid w:val="00271622"/>
    <w:rsid w:val="00271EF6"/>
    <w:rsid w:val="00272ADC"/>
    <w:rsid w:val="002750C9"/>
    <w:rsid w:val="00276D9C"/>
    <w:rsid w:val="00277578"/>
    <w:rsid w:val="00283BE8"/>
    <w:rsid w:val="0029289E"/>
    <w:rsid w:val="002A02C6"/>
    <w:rsid w:val="002A2A10"/>
    <w:rsid w:val="002A50FF"/>
    <w:rsid w:val="002B2CA1"/>
    <w:rsid w:val="002B4318"/>
    <w:rsid w:val="002B48A7"/>
    <w:rsid w:val="002D0C0E"/>
    <w:rsid w:val="002D5B09"/>
    <w:rsid w:val="002E071E"/>
    <w:rsid w:val="002E0EB8"/>
    <w:rsid w:val="002E50E5"/>
    <w:rsid w:val="002F46F6"/>
    <w:rsid w:val="00307BFB"/>
    <w:rsid w:val="00314564"/>
    <w:rsid w:val="00314CB3"/>
    <w:rsid w:val="003212EE"/>
    <w:rsid w:val="00333182"/>
    <w:rsid w:val="003421D3"/>
    <w:rsid w:val="00343B93"/>
    <w:rsid w:val="003452E1"/>
    <w:rsid w:val="00347F56"/>
    <w:rsid w:val="00353456"/>
    <w:rsid w:val="00353A4B"/>
    <w:rsid w:val="00355828"/>
    <w:rsid w:val="00365166"/>
    <w:rsid w:val="00381FDA"/>
    <w:rsid w:val="00383E34"/>
    <w:rsid w:val="003B1360"/>
    <w:rsid w:val="003B65CD"/>
    <w:rsid w:val="003B6E5B"/>
    <w:rsid w:val="003C34C0"/>
    <w:rsid w:val="003C35C9"/>
    <w:rsid w:val="003C4364"/>
    <w:rsid w:val="003C510B"/>
    <w:rsid w:val="003C7CA4"/>
    <w:rsid w:val="003D0EA2"/>
    <w:rsid w:val="003D23ED"/>
    <w:rsid w:val="003D394B"/>
    <w:rsid w:val="003D751B"/>
    <w:rsid w:val="003E1853"/>
    <w:rsid w:val="004006E7"/>
    <w:rsid w:val="0040256F"/>
    <w:rsid w:val="00403CE2"/>
    <w:rsid w:val="004228BB"/>
    <w:rsid w:val="00423CDD"/>
    <w:rsid w:val="0045370B"/>
    <w:rsid w:val="0045487E"/>
    <w:rsid w:val="00461414"/>
    <w:rsid w:val="0046413C"/>
    <w:rsid w:val="00467F85"/>
    <w:rsid w:val="004711DE"/>
    <w:rsid w:val="0047730E"/>
    <w:rsid w:val="00490F81"/>
    <w:rsid w:val="00491134"/>
    <w:rsid w:val="00497D85"/>
    <w:rsid w:val="004A1E83"/>
    <w:rsid w:val="004A3515"/>
    <w:rsid w:val="004B3660"/>
    <w:rsid w:val="004B4A15"/>
    <w:rsid w:val="004B4CAC"/>
    <w:rsid w:val="004B5860"/>
    <w:rsid w:val="004C2DE6"/>
    <w:rsid w:val="004C2E38"/>
    <w:rsid w:val="004D1035"/>
    <w:rsid w:val="004D1AB6"/>
    <w:rsid w:val="004D3F9B"/>
    <w:rsid w:val="004D5123"/>
    <w:rsid w:val="004D57B4"/>
    <w:rsid w:val="004E0B3C"/>
    <w:rsid w:val="004E79F1"/>
    <w:rsid w:val="00502560"/>
    <w:rsid w:val="00511E75"/>
    <w:rsid w:val="00513B6F"/>
    <w:rsid w:val="005205BC"/>
    <w:rsid w:val="00520742"/>
    <w:rsid w:val="005218BD"/>
    <w:rsid w:val="00523B1B"/>
    <w:rsid w:val="00531E66"/>
    <w:rsid w:val="00533B3C"/>
    <w:rsid w:val="00534575"/>
    <w:rsid w:val="005449C3"/>
    <w:rsid w:val="00552F7E"/>
    <w:rsid w:val="00556594"/>
    <w:rsid w:val="00561861"/>
    <w:rsid w:val="00564A5D"/>
    <w:rsid w:val="00581B38"/>
    <w:rsid w:val="005843F8"/>
    <w:rsid w:val="00591852"/>
    <w:rsid w:val="00594DF5"/>
    <w:rsid w:val="005A1A50"/>
    <w:rsid w:val="005A4DC8"/>
    <w:rsid w:val="005B0188"/>
    <w:rsid w:val="005B06FB"/>
    <w:rsid w:val="005B3238"/>
    <w:rsid w:val="005B7221"/>
    <w:rsid w:val="005C43D0"/>
    <w:rsid w:val="005D2AF5"/>
    <w:rsid w:val="005E36A9"/>
    <w:rsid w:val="005F0E44"/>
    <w:rsid w:val="005F1670"/>
    <w:rsid w:val="005F5E96"/>
    <w:rsid w:val="005F708B"/>
    <w:rsid w:val="006042D3"/>
    <w:rsid w:val="00616FFD"/>
    <w:rsid w:val="006240B2"/>
    <w:rsid w:val="00625B9D"/>
    <w:rsid w:val="00626BBB"/>
    <w:rsid w:val="00630D62"/>
    <w:rsid w:val="00633173"/>
    <w:rsid w:val="00633252"/>
    <w:rsid w:val="00656D6F"/>
    <w:rsid w:val="006605D1"/>
    <w:rsid w:val="00667793"/>
    <w:rsid w:val="00673E51"/>
    <w:rsid w:val="00674F0C"/>
    <w:rsid w:val="00676E24"/>
    <w:rsid w:val="00682190"/>
    <w:rsid w:val="0068363C"/>
    <w:rsid w:val="00691D7C"/>
    <w:rsid w:val="006A1131"/>
    <w:rsid w:val="006A2FFA"/>
    <w:rsid w:val="006A4D7E"/>
    <w:rsid w:val="006B1592"/>
    <w:rsid w:val="006B33B8"/>
    <w:rsid w:val="006C563A"/>
    <w:rsid w:val="006D1C9E"/>
    <w:rsid w:val="006D256F"/>
    <w:rsid w:val="006D67A4"/>
    <w:rsid w:val="006D774F"/>
    <w:rsid w:val="006D7B1B"/>
    <w:rsid w:val="006E7753"/>
    <w:rsid w:val="006F4C4C"/>
    <w:rsid w:val="00702CAB"/>
    <w:rsid w:val="00707086"/>
    <w:rsid w:val="00707304"/>
    <w:rsid w:val="00707CC7"/>
    <w:rsid w:val="007100A4"/>
    <w:rsid w:val="007117CB"/>
    <w:rsid w:val="0071263C"/>
    <w:rsid w:val="00717E16"/>
    <w:rsid w:val="00735B1F"/>
    <w:rsid w:val="007360A5"/>
    <w:rsid w:val="00736E34"/>
    <w:rsid w:val="00737989"/>
    <w:rsid w:val="0074717B"/>
    <w:rsid w:val="0076572D"/>
    <w:rsid w:val="00770F23"/>
    <w:rsid w:val="007733C7"/>
    <w:rsid w:val="00774F12"/>
    <w:rsid w:val="00777957"/>
    <w:rsid w:val="00777A82"/>
    <w:rsid w:val="00780D5F"/>
    <w:rsid w:val="007850C6"/>
    <w:rsid w:val="007863AA"/>
    <w:rsid w:val="00790BB9"/>
    <w:rsid w:val="0079185A"/>
    <w:rsid w:val="0079345B"/>
    <w:rsid w:val="007A671D"/>
    <w:rsid w:val="007A7E89"/>
    <w:rsid w:val="007B1A8C"/>
    <w:rsid w:val="007B3D3E"/>
    <w:rsid w:val="007B436F"/>
    <w:rsid w:val="007B7BF5"/>
    <w:rsid w:val="007C518F"/>
    <w:rsid w:val="007D0BBE"/>
    <w:rsid w:val="007D3011"/>
    <w:rsid w:val="007D46F1"/>
    <w:rsid w:val="007D59E7"/>
    <w:rsid w:val="007E5942"/>
    <w:rsid w:val="007F1A57"/>
    <w:rsid w:val="007F455B"/>
    <w:rsid w:val="007F53E6"/>
    <w:rsid w:val="00800889"/>
    <w:rsid w:val="00807330"/>
    <w:rsid w:val="008073C3"/>
    <w:rsid w:val="00811C58"/>
    <w:rsid w:val="00812FA6"/>
    <w:rsid w:val="00813372"/>
    <w:rsid w:val="00813B2D"/>
    <w:rsid w:val="00821CC8"/>
    <w:rsid w:val="00847643"/>
    <w:rsid w:val="008538FD"/>
    <w:rsid w:val="00854D0C"/>
    <w:rsid w:val="008564D2"/>
    <w:rsid w:val="00857626"/>
    <w:rsid w:val="0086058B"/>
    <w:rsid w:val="008700F3"/>
    <w:rsid w:val="00870E8A"/>
    <w:rsid w:val="00871C34"/>
    <w:rsid w:val="00887613"/>
    <w:rsid w:val="00895811"/>
    <w:rsid w:val="00897146"/>
    <w:rsid w:val="008A4CA9"/>
    <w:rsid w:val="008B54DA"/>
    <w:rsid w:val="008B5C05"/>
    <w:rsid w:val="008B7C5E"/>
    <w:rsid w:val="008C0AE9"/>
    <w:rsid w:val="008C4CAF"/>
    <w:rsid w:val="008D0B34"/>
    <w:rsid w:val="008D3771"/>
    <w:rsid w:val="008D453C"/>
    <w:rsid w:val="008D53F6"/>
    <w:rsid w:val="008D768C"/>
    <w:rsid w:val="008E09BB"/>
    <w:rsid w:val="008E15A8"/>
    <w:rsid w:val="008E6121"/>
    <w:rsid w:val="008F381C"/>
    <w:rsid w:val="00900A66"/>
    <w:rsid w:val="0090313E"/>
    <w:rsid w:val="00905123"/>
    <w:rsid w:val="00910E93"/>
    <w:rsid w:val="009110E5"/>
    <w:rsid w:val="00913B52"/>
    <w:rsid w:val="009217E0"/>
    <w:rsid w:val="00924605"/>
    <w:rsid w:val="00925BD7"/>
    <w:rsid w:val="009267AF"/>
    <w:rsid w:val="00950DF1"/>
    <w:rsid w:val="00957288"/>
    <w:rsid w:val="00957C62"/>
    <w:rsid w:val="00960EB0"/>
    <w:rsid w:val="00963361"/>
    <w:rsid w:val="00963C55"/>
    <w:rsid w:val="0096458C"/>
    <w:rsid w:val="00965654"/>
    <w:rsid w:val="00966554"/>
    <w:rsid w:val="009665F3"/>
    <w:rsid w:val="00966779"/>
    <w:rsid w:val="00970A41"/>
    <w:rsid w:val="0097328F"/>
    <w:rsid w:val="00981CCD"/>
    <w:rsid w:val="00986269"/>
    <w:rsid w:val="009A3264"/>
    <w:rsid w:val="009A3FEB"/>
    <w:rsid w:val="009A6289"/>
    <w:rsid w:val="009A637A"/>
    <w:rsid w:val="009B0187"/>
    <w:rsid w:val="009B0A6D"/>
    <w:rsid w:val="009B0B92"/>
    <w:rsid w:val="009B17C9"/>
    <w:rsid w:val="009B2378"/>
    <w:rsid w:val="009B619A"/>
    <w:rsid w:val="009B65CA"/>
    <w:rsid w:val="009E13D3"/>
    <w:rsid w:val="009E52A7"/>
    <w:rsid w:val="009F2DBE"/>
    <w:rsid w:val="009F7FE8"/>
    <w:rsid w:val="00A01552"/>
    <w:rsid w:val="00A04F5F"/>
    <w:rsid w:val="00A1000E"/>
    <w:rsid w:val="00A10AF1"/>
    <w:rsid w:val="00A10DD5"/>
    <w:rsid w:val="00A13420"/>
    <w:rsid w:val="00A13A2C"/>
    <w:rsid w:val="00A23E8C"/>
    <w:rsid w:val="00A31991"/>
    <w:rsid w:val="00A31BA6"/>
    <w:rsid w:val="00A622C5"/>
    <w:rsid w:val="00A631F0"/>
    <w:rsid w:val="00A63AA7"/>
    <w:rsid w:val="00A63EB3"/>
    <w:rsid w:val="00A6694E"/>
    <w:rsid w:val="00A67483"/>
    <w:rsid w:val="00A70B34"/>
    <w:rsid w:val="00A765CB"/>
    <w:rsid w:val="00A83058"/>
    <w:rsid w:val="00AA13E9"/>
    <w:rsid w:val="00AA4D4E"/>
    <w:rsid w:val="00AB349C"/>
    <w:rsid w:val="00AB43FB"/>
    <w:rsid w:val="00AB69DF"/>
    <w:rsid w:val="00AC31FB"/>
    <w:rsid w:val="00AC6208"/>
    <w:rsid w:val="00AD305F"/>
    <w:rsid w:val="00AE1642"/>
    <w:rsid w:val="00AE2B0D"/>
    <w:rsid w:val="00AE6851"/>
    <w:rsid w:val="00AE7EED"/>
    <w:rsid w:val="00AF32DD"/>
    <w:rsid w:val="00B00D8E"/>
    <w:rsid w:val="00B118F6"/>
    <w:rsid w:val="00B11C83"/>
    <w:rsid w:val="00B1409D"/>
    <w:rsid w:val="00B213A5"/>
    <w:rsid w:val="00B21C55"/>
    <w:rsid w:val="00B3032B"/>
    <w:rsid w:val="00B30A1A"/>
    <w:rsid w:val="00B32705"/>
    <w:rsid w:val="00B32E5A"/>
    <w:rsid w:val="00B402D9"/>
    <w:rsid w:val="00B4033F"/>
    <w:rsid w:val="00B41AF5"/>
    <w:rsid w:val="00B4420B"/>
    <w:rsid w:val="00B44D1F"/>
    <w:rsid w:val="00B507DE"/>
    <w:rsid w:val="00B54DA6"/>
    <w:rsid w:val="00B60FC2"/>
    <w:rsid w:val="00B62ADF"/>
    <w:rsid w:val="00B667D5"/>
    <w:rsid w:val="00B713A1"/>
    <w:rsid w:val="00B73121"/>
    <w:rsid w:val="00B73895"/>
    <w:rsid w:val="00B775DE"/>
    <w:rsid w:val="00B80232"/>
    <w:rsid w:val="00B91773"/>
    <w:rsid w:val="00B93B4B"/>
    <w:rsid w:val="00B944D0"/>
    <w:rsid w:val="00BA267D"/>
    <w:rsid w:val="00BA46D4"/>
    <w:rsid w:val="00BB2959"/>
    <w:rsid w:val="00BB543D"/>
    <w:rsid w:val="00BC2F92"/>
    <w:rsid w:val="00BC32A9"/>
    <w:rsid w:val="00BC5F2E"/>
    <w:rsid w:val="00BD7630"/>
    <w:rsid w:val="00BD7B0C"/>
    <w:rsid w:val="00BE0644"/>
    <w:rsid w:val="00BE748D"/>
    <w:rsid w:val="00BF0ACB"/>
    <w:rsid w:val="00BF1CB0"/>
    <w:rsid w:val="00BF61A0"/>
    <w:rsid w:val="00C010C7"/>
    <w:rsid w:val="00C02216"/>
    <w:rsid w:val="00C048D0"/>
    <w:rsid w:val="00C0726A"/>
    <w:rsid w:val="00C14CDF"/>
    <w:rsid w:val="00C15BB6"/>
    <w:rsid w:val="00C15CD8"/>
    <w:rsid w:val="00C17FD9"/>
    <w:rsid w:val="00C21068"/>
    <w:rsid w:val="00C2110B"/>
    <w:rsid w:val="00C22388"/>
    <w:rsid w:val="00C23AD5"/>
    <w:rsid w:val="00C3130E"/>
    <w:rsid w:val="00C41817"/>
    <w:rsid w:val="00C4645A"/>
    <w:rsid w:val="00C47094"/>
    <w:rsid w:val="00C47B6A"/>
    <w:rsid w:val="00C5144B"/>
    <w:rsid w:val="00C5424D"/>
    <w:rsid w:val="00C56268"/>
    <w:rsid w:val="00C6140E"/>
    <w:rsid w:val="00C677B1"/>
    <w:rsid w:val="00C71474"/>
    <w:rsid w:val="00C72EA5"/>
    <w:rsid w:val="00C74510"/>
    <w:rsid w:val="00C7637B"/>
    <w:rsid w:val="00C8000E"/>
    <w:rsid w:val="00C8211E"/>
    <w:rsid w:val="00C873DC"/>
    <w:rsid w:val="00C87E42"/>
    <w:rsid w:val="00C96748"/>
    <w:rsid w:val="00CA10B7"/>
    <w:rsid w:val="00CA1592"/>
    <w:rsid w:val="00CA2D3A"/>
    <w:rsid w:val="00CA78A2"/>
    <w:rsid w:val="00CB0278"/>
    <w:rsid w:val="00CB42AE"/>
    <w:rsid w:val="00CC02F4"/>
    <w:rsid w:val="00CC062A"/>
    <w:rsid w:val="00CC41E6"/>
    <w:rsid w:val="00CC7AC6"/>
    <w:rsid w:val="00CD35B3"/>
    <w:rsid w:val="00CD39C2"/>
    <w:rsid w:val="00CD3B58"/>
    <w:rsid w:val="00CD58D3"/>
    <w:rsid w:val="00CD611B"/>
    <w:rsid w:val="00CD7018"/>
    <w:rsid w:val="00CE305B"/>
    <w:rsid w:val="00CE4AD7"/>
    <w:rsid w:val="00CE780D"/>
    <w:rsid w:val="00CF0E5A"/>
    <w:rsid w:val="00CF107C"/>
    <w:rsid w:val="00CF4FF2"/>
    <w:rsid w:val="00CF736F"/>
    <w:rsid w:val="00CF786C"/>
    <w:rsid w:val="00D000D4"/>
    <w:rsid w:val="00D00FC9"/>
    <w:rsid w:val="00D0327C"/>
    <w:rsid w:val="00D0406B"/>
    <w:rsid w:val="00D0436A"/>
    <w:rsid w:val="00D04402"/>
    <w:rsid w:val="00D17814"/>
    <w:rsid w:val="00D202ED"/>
    <w:rsid w:val="00D2719F"/>
    <w:rsid w:val="00D27282"/>
    <w:rsid w:val="00D30762"/>
    <w:rsid w:val="00D36D53"/>
    <w:rsid w:val="00D42A40"/>
    <w:rsid w:val="00D43007"/>
    <w:rsid w:val="00D509FB"/>
    <w:rsid w:val="00D53EDB"/>
    <w:rsid w:val="00D610A4"/>
    <w:rsid w:val="00D66710"/>
    <w:rsid w:val="00D66EC4"/>
    <w:rsid w:val="00D67E1D"/>
    <w:rsid w:val="00D716EA"/>
    <w:rsid w:val="00D74199"/>
    <w:rsid w:val="00D74308"/>
    <w:rsid w:val="00D74736"/>
    <w:rsid w:val="00D75089"/>
    <w:rsid w:val="00D75F43"/>
    <w:rsid w:val="00D80C36"/>
    <w:rsid w:val="00D80D92"/>
    <w:rsid w:val="00D93638"/>
    <w:rsid w:val="00D938CE"/>
    <w:rsid w:val="00D94C08"/>
    <w:rsid w:val="00DA02D9"/>
    <w:rsid w:val="00DA479E"/>
    <w:rsid w:val="00DA4A07"/>
    <w:rsid w:val="00DA5D9B"/>
    <w:rsid w:val="00DB1473"/>
    <w:rsid w:val="00DC10B9"/>
    <w:rsid w:val="00DC5C9A"/>
    <w:rsid w:val="00DC68FA"/>
    <w:rsid w:val="00DC7139"/>
    <w:rsid w:val="00DC7956"/>
    <w:rsid w:val="00DD49DD"/>
    <w:rsid w:val="00DD5CF0"/>
    <w:rsid w:val="00DF0B66"/>
    <w:rsid w:val="00DF6988"/>
    <w:rsid w:val="00DF7AAB"/>
    <w:rsid w:val="00E005D7"/>
    <w:rsid w:val="00E06A56"/>
    <w:rsid w:val="00E13747"/>
    <w:rsid w:val="00E15C3F"/>
    <w:rsid w:val="00E34A86"/>
    <w:rsid w:val="00E358B7"/>
    <w:rsid w:val="00E36E87"/>
    <w:rsid w:val="00E5012E"/>
    <w:rsid w:val="00E521FA"/>
    <w:rsid w:val="00E5237F"/>
    <w:rsid w:val="00E533DB"/>
    <w:rsid w:val="00E60EBC"/>
    <w:rsid w:val="00E60FC3"/>
    <w:rsid w:val="00E63991"/>
    <w:rsid w:val="00E65A9D"/>
    <w:rsid w:val="00E676E3"/>
    <w:rsid w:val="00E7497D"/>
    <w:rsid w:val="00E828DE"/>
    <w:rsid w:val="00EA1A98"/>
    <w:rsid w:val="00EA2C84"/>
    <w:rsid w:val="00EA3682"/>
    <w:rsid w:val="00EB13D5"/>
    <w:rsid w:val="00EB17AF"/>
    <w:rsid w:val="00EB1920"/>
    <w:rsid w:val="00EE2686"/>
    <w:rsid w:val="00EE46D6"/>
    <w:rsid w:val="00EE612D"/>
    <w:rsid w:val="00EF0B6B"/>
    <w:rsid w:val="00F04F66"/>
    <w:rsid w:val="00F10AC1"/>
    <w:rsid w:val="00F13121"/>
    <w:rsid w:val="00F1320E"/>
    <w:rsid w:val="00F13F16"/>
    <w:rsid w:val="00F14864"/>
    <w:rsid w:val="00F175D1"/>
    <w:rsid w:val="00F2361A"/>
    <w:rsid w:val="00F23F9D"/>
    <w:rsid w:val="00F24302"/>
    <w:rsid w:val="00F30374"/>
    <w:rsid w:val="00F31D7C"/>
    <w:rsid w:val="00F3213C"/>
    <w:rsid w:val="00F36D7E"/>
    <w:rsid w:val="00F42D88"/>
    <w:rsid w:val="00F44A35"/>
    <w:rsid w:val="00F46451"/>
    <w:rsid w:val="00F46D21"/>
    <w:rsid w:val="00F52B3B"/>
    <w:rsid w:val="00F532AF"/>
    <w:rsid w:val="00F71864"/>
    <w:rsid w:val="00F74788"/>
    <w:rsid w:val="00F773B6"/>
    <w:rsid w:val="00F776F1"/>
    <w:rsid w:val="00F845C1"/>
    <w:rsid w:val="00F855AC"/>
    <w:rsid w:val="00F87D6D"/>
    <w:rsid w:val="00FA1E80"/>
    <w:rsid w:val="00FB3F66"/>
    <w:rsid w:val="00FB472C"/>
    <w:rsid w:val="00FC570D"/>
    <w:rsid w:val="00FE2D1D"/>
    <w:rsid w:val="00FE35BB"/>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napToGrid w:val="0"/>
        <w:spacing w:val="-2"/>
        <w:sz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73E51"/>
    <w:rPr>
      <w:sz w:val="20"/>
    </w:rPr>
  </w:style>
  <w:style w:type="character" w:customStyle="1" w:styleId="EndnoteTextChar">
    <w:name w:val="Endnote Text Char"/>
    <w:basedOn w:val="DefaultParagraphFont"/>
    <w:link w:val="EndnoteText"/>
    <w:uiPriority w:val="99"/>
    <w:semiHidden/>
    <w:rsid w:val="00673E51"/>
    <w:rPr>
      <w:sz w:val="20"/>
    </w:rPr>
  </w:style>
  <w:style w:type="character" w:styleId="EndnoteReference">
    <w:name w:val="endnote reference"/>
    <w:basedOn w:val="DefaultParagraphFont"/>
    <w:uiPriority w:val="99"/>
    <w:semiHidden/>
    <w:unhideWhenUsed/>
    <w:rsid w:val="00673E51"/>
    <w:rPr>
      <w:vertAlign w:val="superscript"/>
    </w:rPr>
  </w:style>
  <w:style w:type="paragraph" w:styleId="Header">
    <w:name w:val="header"/>
    <w:basedOn w:val="Normal"/>
    <w:link w:val="HeaderChar"/>
    <w:uiPriority w:val="99"/>
    <w:semiHidden/>
    <w:unhideWhenUsed/>
    <w:rsid w:val="00673E51"/>
    <w:pPr>
      <w:tabs>
        <w:tab w:val="center" w:pos="4680"/>
        <w:tab w:val="right" w:pos="9360"/>
      </w:tabs>
    </w:pPr>
  </w:style>
  <w:style w:type="character" w:customStyle="1" w:styleId="HeaderChar">
    <w:name w:val="Header Char"/>
    <w:basedOn w:val="DefaultParagraphFont"/>
    <w:link w:val="Header"/>
    <w:uiPriority w:val="99"/>
    <w:semiHidden/>
    <w:rsid w:val="00673E51"/>
  </w:style>
  <w:style w:type="paragraph" w:styleId="Footer">
    <w:name w:val="footer"/>
    <w:basedOn w:val="Normal"/>
    <w:link w:val="FooterChar"/>
    <w:uiPriority w:val="99"/>
    <w:unhideWhenUsed/>
    <w:rsid w:val="00673E51"/>
    <w:pPr>
      <w:tabs>
        <w:tab w:val="center" w:pos="4680"/>
        <w:tab w:val="right" w:pos="9360"/>
      </w:tabs>
    </w:pPr>
  </w:style>
  <w:style w:type="character" w:customStyle="1" w:styleId="FooterChar">
    <w:name w:val="Footer Char"/>
    <w:basedOn w:val="DefaultParagraphFont"/>
    <w:link w:val="Footer"/>
    <w:uiPriority w:val="99"/>
    <w:rsid w:val="00673E51"/>
  </w:style>
  <w:style w:type="paragraph" w:styleId="FootnoteText">
    <w:name w:val="footnote text"/>
    <w:basedOn w:val="Normal"/>
    <w:link w:val="FootnoteTextChar"/>
    <w:uiPriority w:val="99"/>
    <w:semiHidden/>
    <w:unhideWhenUsed/>
    <w:rsid w:val="009110E5"/>
    <w:rPr>
      <w:sz w:val="20"/>
    </w:rPr>
  </w:style>
  <w:style w:type="character" w:customStyle="1" w:styleId="FootnoteTextChar">
    <w:name w:val="Footnote Text Char"/>
    <w:basedOn w:val="DefaultParagraphFont"/>
    <w:link w:val="FootnoteText"/>
    <w:uiPriority w:val="99"/>
    <w:semiHidden/>
    <w:rsid w:val="009110E5"/>
    <w:rPr>
      <w:sz w:val="20"/>
    </w:rPr>
  </w:style>
  <w:style w:type="character" w:styleId="FootnoteReference">
    <w:name w:val="footnote reference"/>
    <w:basedOn w:val="DefaultParagraphFont"/>
    <w:uiPriority w:val="99"/>
    <w:semiHidden/>
    <w:unhideWhenUsed/>
    <w:rsid w:val="009110E5"/>
    <w:rPr>
      <w:vertAlign w:val="superscript"/>
    </w:rPr>
  </w:style>
  <w:style w:type="paragraph" w:styleId="ListParagraph">
    <w:name w:val="List Paragraph"/>
    <w:basedOn w:val="Normal"/>
    <w:uiPriority w:val="34"/>
    <w:qFormat/>
    <w:rsid w:val="00365166"/>
    <w:pPr>
      <w:ind w:left="720"/>
      <w:contextualSpacing/>
    </w:pPr>
  </w:style>
  <w:style w:type="table" w:styleId="TableGrid">
    <w:name w:val="Table Grid"/>
    <w:basedOn w:val="TableNormal"/>
    <w:uiPriority w:val="59"/>
    <w:rsid w:val="00F46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49C3"/>
    <w:rPr>
      <w:rFonts w:ascii="Tahoma" w:hAnsi="Tahoma" w:cs="Tahoma"/>
      <w:sz w:val="16"/>
      <w:szCs w:val="16"/>
    </w:rPr>
  </w:style>
  <w:style w:type="character" w:customStyle="1" w:styleId="BalloonTextChar">
    <w:name w:val="Balloon Text Char"/>
    <w:basedOn w:val="DefaultParagraphFont"/>
    <w:link w:val="BalloonText"/>
    <w:uiPriority w:val="99"/>
    <w:semiHidden/>
    <w:rsid w:val="005449C3"/>
    <w:rPr>
      <w:rFonts w:ascii="Tahoma" w:hAnsi="Tahoma" w:cs="Tahoma"/>
      <w:sz w:val="16"/>
      <w:szCs w:val="16"/>
    </w:rPr>
  </w:style>
  <w:style w:type="character" w:styleId="LineNumber">
    <w:name w:val="line number"/>
    <w:basedOn w:val="DefaultParagraphFont"/>
    <w:uiPriority w:val="99"/>
    <w:semiHidden/>
    <w:unhideWhenUsed/>
    <w:rsid w:val="00314564"/>
  </w:style>
  <w:style w:type="character" w:styleId="Hyperlink">
    <w:name w:val="Hyperlink"/>
    <w:basedOn w:val="DefaultParagraphFont"/>
    <w:uiPriority w:val="99"/>
    <w:unhideWhenUsed/>
    <w:rsid w:val="004228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napToGrid w:val="0"/>
        <w:spacing w:val="-2"/>
        <w:sz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73E51"/>
    <w:rPr>
      <w:sz w:val="20"/>
    </w:rPr>
  </w:style>
  <w:style w:type="character" w:customStyle="1" w:styleId="EndnoteTextChar">
    <w:name w:val="Endnote Text Char"/>
    <w:basedOn w:val="DefaultParagraphFont"/>
    <w:link w:val="EndnoteText"/>
    <w:uiPriority w:val="99"/>
    <w:semiHidden/>
    <w:rsid w:val="00673E51"/>
    <w:rPr>
      <w:sz w:val="20"/>
    </w:rPr>
  </w:style>
  <w:style w:type="character" w:styleId="EndnoteReference">
    <w:name w:val="endnote reference"/>
    <w:basedOn w:val="DefaultParagraphFont"/>
    <w:uiPriority w:val="99"/>
    <w:semiHidden/>
    <w:unhideWhenUsed/>
    <w:rsid w:val="00673E51"/>
    <w:rPr>
      <w:vertAlign w:val="superscript"/>
    </w:rPr>
  </w:style>
  <w:style w:type="paragraph" w:styleId="Header">
    <w:name w:val="header"/>
    <w:basedOn w:val="Normal"/>
    <w:link w:val="HeaderChar"/>
    <w:uiPriority w:val="99"/>
    <w:semiHidden/>
    <w:unhideWhenUsed/>
    <w:rsid w:val="00673E51"/>
    <w:pPr>
      <w:tabs>
        <w:tab w:val="center" w:pos="4680"/>
        <w:tab w:val="right" w:pos="9360"/>
      </w:tabs>
    </w:pPr>
  </w:style>
  <w:style w:type="character" w:customStyle="1" w:styleId="HeaderChar">
    <w:name w:val="Header Char"/>
    <w:basedOn w:val="DefaultParagraphFont"/>
    <w:link w:val="Header"/>
    <w:uiPriority w:val="99"/>
    <w:semiHidden/>
    <w:rsid w:val="00673E51"/>
  </w:style>
  <w:style w:type="paragraph" w:styleId="Footer">
    <w:name w:val="footer"/>
    <w:basedOn w:val="Normal"/>
    <w:link w:val="FooterChar"/>
    <w:uiPriority w:val="99"/>
    <w:unhideWhenUsed/>
    <w:rsid w:val="00673E51"/>
    <w:pPr>
      <w:tabs>
        <w:tab w:val="center" w:pos="4680"/>
        <w:tab w:val="right" w:pos="9360"/>
      </w:tabs>
    </w:pPr>
  </w:style>
  <w:style w:type="character" w:customStyle="1" w:styleId="FooterChar">
    <w:name w:val="Footer Char"/>
    <w:basedOn w:val="DefaultParagraphFont"/>
    <w:link w:val="Footer"/>
    <w:uiPriority w:val="99"/>
    <w:rsid w:val="00673E51"/>
  </w:style>
  <w:style w:type="paragraph" w:styleId="FootnoteText">
    <w:name w:val="footnote text"/>
    <w:basedOn w:val="Normal"/>
    <w:link w:val="FootnoteTextChar"/>
    <w:uiPriority w:val="99"/>
    <w:semiHidden/>
    <w:unhideWhenUsed/>
    <w:rsid w:val="009110E5"/>
    <w:rPr>
      <w:sz w:val="20"/>
    </w:rPr>
  </w:style>
  <w:style w:type="character" w:customStyle="1" w:styleId="FootnoteTextChar">
    <w:name w:val="Footnote Text Char"/>
    <w:basedOn w:val="DefaultParagraphFont"/>
    <w:link w:val="FootnoteText"/>
    <w:uiPriority w:val="99"/>
    <w:semiHidden/>
    <w:rsid w:val="009110E5"/>
    <w:rPr>
      <w:sz w:val="20"/>
    </w:rPr>
  </w:style>
  <w:style w:type="character" w:styleId="FootnoteReference">
    <w:name w:val="footnote reference"/>
    <w:basedOn w:val="DefaultParagraphFont"/>
    <w:uiPriority w:val="99"/>
    <w:semiHidden/>
    <w:unhideWhenUsed/>
    <w:rsid w:val="009110E5"/>
    <w:rPr>
      <w:vertAlign w:val="superscript"/>
    </w:rPr>
  </w:style>
  <w:style w:type="paragraph" w:styleId="ListParagraph">
    <w:name w:val="List Paragraph"/>
    <w:basedOn w:val="Normal"/>
    <w:uiPriority w:val="34"/>
    <w:qFormat/>
    <w:rsid w:val="00365166"/>
    <w:pPr>
      <w:ind w:left="720"/>
      <w:contextualSpacing/>
    </w:pPr>
  </w:style>
  <w:style w:type="table" w:styleId="TableGrid">
    <w:name w:val="Table Grid"/>
    <w:basedOn w:val="TableNormal"/>
    <w:uiPriority w:val="59"/>
    <w:rsid w:val="00F46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49C3"/>
    <w:rPr>
      <w:rFonts w:ascii="Tahoma" w:hAnsi="Tahoma" w:cs="Tahoma"/>
      <w:sz w:val="16"/>
      <w:szCs w:val="16"/>
    </w:rPr>
  </w:style>
  <w:style w:type="character" w:customStyle="1" w:styleId="BalloonTextChar">
    <w:name w:val="Balloon Text Char"/>
    <w:basedOn w:val="DefaultParagraphFont"/>
    <w:link w:val="BalloonText"/>
    <w:uiPriority w:val="99"/>
    <w:semiHidden/>
    <w:rsid w:val="005449C3"/>
    <w:rPr>
      <w:rFonts w:ascii="Tahoma" w:hAnsi="Tahoma" w:cs="Tahoma"/>
      <w:sz w:val="16"/>
      <w:szCs w:val="16"/>
    </w:rPr>
  </w:style>
  <w:style w:type="character" w:styleId="LineNumber">
    <w:name w:val="line number"/>
    <w:basedOn w:val="DefaultParagraphFont"/>
    <w:uiPriority w:val="99"/>
    <w:semiHidden/>
    <w:unhideWhenUsed/>
    <w:rsid w:val="00314564"/>
  </w:style>
  <w:style w:type="character" w:styleId="Hyperlink">
    <w:name w:val="Hyperlink"/>
    <w:basedOn w:val="DefaultParagraphFont"/>
    <w:uiPriority w:val="99"/>
    <w:unhideWhenUsed/>
    <w:rsid w:val="004228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5204">
      <w:bodyDiv w:val="1"/>
      <w:marLeft w:val="0"/>
      <w:marRight w:val="0"/>
      <w:marTop w:val="0"/>
      <w:marBottom w:val="0"/>
      <w:divBdr>
        <w:top w:val="none" w:sz="0" w:space="0" w:color="auto"/>
        <w:left w:val="none" w:sz="0" w:space="0" w:color="auto"/>
        <w:bottom w:val="none" w:sz="0" w:space="0" w:color="auto"/>
        <w:right w:val="none" w:sz="0" w:space="0" w:color="auto"/>
      </w:divBdr>
    </w:div>
    <w:div w:id="321392956">
      <w:bodyDiv w:val="1"/>
      <w:marLeft w:val="0"/>
      <w:marRight w:val="0"/>
      <w:marTop w:val="0"/>
      <w:marBottom w:val="0"/>
      <w:divBdr>
        <w:top w:val="none" w:sz="0" w:space="0" w:color="auto"/>
        <w:left w:val="none" w:sz="0" w:space="0" w:color="auto"/>
        <w:bottom w:val="none" w:sz="0" w:space="0" w:color="auto"/>
        <w:right w:val="none" w:sz="0" w:space="0" w:color="auto"/>
      </w:divBdr>
      <w:divsChild>
        <w:div w:id="1274046565">
          <w:marLeft w:val="0"/>
          <w:marRight w:val="0"/>
          <w:marTop w:val="0"/>
          <w:marBottom w:val="0"/>
          <w:divBdr>
            <w:top w:val="none" w:sz="0" w:space="0" w:color="auto"/>
            <w:left w:val="none" w:sz="0" w:space="0" w:color="auto"/>
            <w:bottom w:val="none" w:sz="0" w:space="0" w:color="auto"/>
            <w:right w:val="none" w:sz="0" w:space="0" w:color="auto"/>
          </w:divBdr>
          <w:divsChild>
            <w:div w:id="199113435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863518055">
                  <w:marLeft w:val="0"/>
                  <w:marRight w:val="0"/>
                  <w:marTop w:val="0"/>
                  <w:marBottom w:val="0"/>
                  <w:divBdr>
                    <w:top w:val="none" w:sz="0" w:space="0" w:color="auto"/>
                    <w:left w:val="none" w:sz="0" w:space="0" w:color="auto"/>
                    <w:bottom w:val="none" w:sz="0" w:space="0" w:color="auto"/>
                    <w:right w:val="none" w:sz="0" w:space="0" w:color="auto"/>
                  </w:divBdr>
                  <w:divsChild>
                    <w:div w:id="1023555591">
                      <w:marLeft w:val="0"/>
                      <w:marRight w:val="0"/>
                      <w:marTop w:val="0"/>
                      <w:marBottom w:val="0"/>
                      <w:divBdr>
                        <w:top w:val="none" w:sz="0" w:space="0" w:color="auto"/>
                        <w:left w:val="none" w:sz="0" w:space="0" w:color="auto"/>
                        <w:bottom w:val="none" w:sz="0" w:space="0" w:color="auto"/>
                        <w:right w:val="none" w:sz="0" w:space="0" w:color="auto"/>
                      </w:divBdr>
                      <w:divsChild>
                        <w:div w:id="21420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51154">
      <w:bodyDiv w:val="1"/>
      <w:marLeft w:val="0"/>
      <w:marRight w:val="0"/>
      <w:marTop w:val="0"/>
      <w:marBottom w:val="0"/>
      <w:divBdr>
        <w:top w:val="none" w:sz="0" w:space="0" w:color="auto"/>
        <w:left w:val="none" w:sz="0" w:space="0" w:color="auto"/>
        <w:bottom w:val="none" w:sz="0" w:space="0" w:color="auto"/>
        <w:right w:val="none" w:sz="0" w:space="0" w:color="auto"/>
      </w:divBdr>
    </w:div>
    <w:div w:id="1272858207">
      <w:bodyDiv w:val="1"/>
      <w:marLeft w:val="0"/>
      <w:marRight w:val="0"/>
      <w:marTop w:val="0"/>
      <w:marBottom w:val="0"/>
      <w:divBdr>
        <w:top w:val="none" w:sz="0" w:space="0" w:color="auto"/>
        <w:left w:val="none" w:sz="0" w:space="0" w:color="auto"/>
        <w:bottom w:val="none" w:sz="0" w:space="0" w:color="auto"/>
        <w:right w:val="none" w:sz="0" w:space="0" w:color="auto"/>
      </w:divBdr>
    </w:div>
    <w:div w:id="1504707511">
      <w:bodyDiv w:val="1"/>
      <w:marLeft w:val="0"/>
      <w:marRight w:val="0"/>
      <w:marTop w:val="0"/>
      <w:marBottom w:val="0"/>
      <w:divBdr>
        <w:top w:val="none" w:sz="0" w:space="0" w:color="auto"/>
        <w:left w:val="none" w:sz="0" w:space="0" w:color="auto"/>
        <w:bottom w:val="none" w:sz="0" w:space="0" w:color="auto"/>
        <w:right w:val="none" w:sz="0" w:space="0" w:color="auto"/>
      </w:divBdr>
    </w:div>
    <w:div w:id="18546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Binary_Worksheet5.xlsb"/><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Binary_Worksheet3.xlsb"/><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ividendcapital.com/why-real-estate/market-cycle-reports/documents/Cycle_Monitor_12Q1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BD4AD-D9AC-43A1-81ED-898C7E39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Norm Miller</cp:lastModifiedBy>
  <cp:revision>2</cp:revision>
  <cp:lastPrinted>2014-04-03T16:26:00Z</cp:lastPrinted>
  <dcterms:created xsi:type="dcterms:W3CDTF">2014-04-08T21:45:00Z</dcterms:created>
  <dcterms:modified xsi:type="dcterms:W3CDTF">2014-04-08T21:45:00Z</dcterms:modified>
</cp:coreProperties>
</file>