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899" w:rsidRDefault="00FB13CF">
      <w:pPr>
        <w:rPr>
          <w:b/>
          <w:sz w:val="28"/>
          <w:szCs w:val="28"/>
        </w:rPr>
      </w:pPr>
      <w:bookmarkStart w:id="0" w:name="_GoBack"/>
      <w:bookmarkEnd w:id="0"/>
      <w:r>
        <w:rPr>
          <w:b/>
          <w:sz w:val="28"/>
          <w:szCs w:val="28"/>
        </w:rPr>
        <w:t>February</w:t>
      </w:r>
      <w:r w:rsidR="00B03F15">
        <w:rPr>
          <w:b/>
          <w:sz w:val="28"/>
          <w:szCs w:val="28"/>
        </w:rPr>
        <w:t xml:space="preserve"> 2013</w:t>
      </w:r>
      <w:r w:rsidR="00543DD2">
        <w:rPr>
          <w:b/>
          <w:sz w:val="28"/>
          <w:szCs w:val="28"/>
        </w:rPr>
        <w:t xml:space="preserve"> Housing</w:t>
      </w:r>
      <w:r w:rsidR="00E02579" w:rsidRPr="0080783D">
        <w:rPr>
          <w:b/>
          <w:sz w:val="28"/>
          <w:szCs w:val="28"/>
        </w:rPr>
        <w:t xml:space="preserve"> Market Update</w:t>
      </w:r>
      <w:r w:rsidR="00543DD2">
        <w:rPr>
          <w:b/>
          <w:sz w:val="28"/>
          <w:szCs w:val="28"/>
        </w:rPr>
        <w:t>: Top Price Tier Submarkets Moving Up</w:t>
      </w:r>
    </w:p>
    <w:p w:rsidR="00543DD2" w:rsidRPr="00543DD2" w:rsidRDefault="00543DD2" w:rsidP="00543DD2">
      <w:pPr>
        <w:jc w:val="center"/>
        <w:rPr>
          <w:i/>
          <w:sz w:val="24"/>
          <w:szCs w:val="28"/>
        </w:rPr>
      </w:pPr>
      <w:r w:rsidRPr="00543DD2">
        <w:rPr>
          <w:i/>
          <w:sz w:val="24"/>
          <w:szCs w:val="28"/>
        </w:rPr>
        <w:t>By Michael Sklarz, CEO, Collateral Analytics and Norm Miller, Professor, Burnham-</w:t>
      </w:r>
      <w:proofErr w:type="spellStart"/>
      <w:r w:rsidRPr="00543DD2">
        <w:rPr>
          <w:i/>
          <w:sz w:val="24"/>
          <w:szCs w:val="28"/>
        </w:rPr>
        <w:t>Moores</w:t>
      </w:r>
      <w:proofErr w:type="spellEnd"/>
      <w:r w:rsidRPr="00543DD2">
        <w:rPr>
          <w:i/>
          <w:sz w:val="24"/>
          <w:szCs w:val="28"/>
        </w:rPr>
        <w:t xml:space="preserve"> Center for Real Estate, University of San Diego</w:t>
      </w:r>
    </w:p>
    <w:p w:rsidR="00D15740" w:rsidRDefault="00E67822">
      <w:pPr>
        <w:rPr>
          <w:sz w:val="24"/>
          <w:szCs w:val="24"/>
        </w:rPr>
      </w:pPr>
      <w:r>
        <w:rPr>
          <w:sz w:val="24"/>
          <w:szCs w:val="24"/>
        </w:rPr>
        <w:t xml:space="preserve">The </w:t>
      </w:r>
      <w:r w:rsidR="00206E68">
        <w:rPr>
          <w:sz w:val="24"/>
          <w:szCs w:val="24"/>
        </w:rPr>
        <w:t xml:space="preserve">outlook for the </w:t>
      </w:r>
      <w:r>
        <w:rPr>
          <w:sz w:val="24"/>
          <w:szCs w:val="24"/>
        </w:rPr>
        <w:t>r</w:t>
      </w:r>
      <w:r w:rsidR="00206E68">
        <w:rPr>
          <w:sz w:val="24"/>
          <w:szCs w:val="24"/>
        </w:rPr>
        <w:t>esidenti</w:t>
      </w:r>
      <w:r w:rsidR="00D15740">
        <w:rPr>
          <w:sz w:val="24"/>
          <w:szCs w:val="24"/>
        </w:rPr>
        <w:t>al real est</w:t>
      </w:r>
      <w:r w:rsidR="00307454">
        <w:rPr>
          <w:sz w:val="24"/>
          <w:szCs w:val="24"/>
        </w:rPr>
        <w:t>ate market continues to improve</w:t>
      </w:r>
      <w:r w:rsidR="00CD16AF">
        <w:rPr>
          <w:sz w:val="24"/>
          <w:szCs w:val="24"/>
        </w:rPr>
        <w:t xml:space="preserve">.  </w:t>
      </w:r>
      <w:r w:rsidR="00D15740">
        <w:rPr>
          <w:sz w:val="24"/>
          <w:szCs w:val="24"/>
        </w:rPr>
        <w:t>We have long held the view that real estate markets exhibit varying degrees of predictability</w:t>
      </w:r>
      <w:r w:rsidR="00CD16AF">
        <w:rPr>
          <w:sz w:val="24"/>
          <w:szCs w:val="24"/>
        </w:rPr>
        <w:t xml:space="preserve"> with the accuracy steadily improving as more sales and internal market indicator data becomes available.  Many of the interior U.S. markets exhibit low volatility and are relatively easy to forecast.  Others on the East and West Coasts exhibit more volatility due to the combination of constrained supply and generally rising demand.</w:t>
      </w:r>
      <w:r w:rsidR="00D5653E">
        <w:rPr>
          <w:sz w:val="24"/>
          <w:szCs w:val="24"/>
        </w:rPr>
        <w:t xml:space="preserve">  Home prices in these markets rise and fall faster than in markets where </w:t>
      </w:r>
      <w:r w:rsidR="000F7911">
        <w:rPr>
          <w:sz w:val="24"/>
          <w:szCs w:val="24"/>
        </w:rPr>
        <w:t xml:space="preserve">new supply </w:t>
      </w:r>
      <w:r w:rsidR="00307454">
        <w:rPr>
          <w:sz w:val="24"/>
          <w:szCs w:val="24"/>
        </w:rPr>
        <w:t>is more elastic</w:t>
      </w:r>
      <w:r w:rsidR="000F7911">
        <w:rPr>
          <w:sz w:val="24"/>
          <w:szCs w:val="24"/>
        </w:rPr>
        <w:t xml:space="preserve"> such as the more open Midwest U.S.  </w:t>
      </w:r>
    </w:p>
    <w:p w:rsidR="000F7911" w:rsidRDefault="00C94908">
      <w:pPr>
        <w:rPr>
          <w:sz w:val="24"/>
          <w:szCs w:val="24"/>
        </w:rPr>
      </w:pPr>
      <w:r>
        <w:rPr>
          <w:sz w:val="24"/>
          <w:szCs w:val="24"/>
        </w:rPr>
        <w:t xml:space="preserve">One sector which we pay particular attention to is the market for higher priced homes.  These tend to lead the overall market on both the upside and downside of the real estate cycle.  Figure 1 below shows long-term historical home prices expressed per square foot of living area for several Los Angeles County markets.  We chose these three markets as they are representative of low, average and high-priced cities </w:t>
      </w:r>
      <w:r w:rsidR="00307454">
        <w:rPr>
          <w:sz w:val="24"/>
          <w:szCs w:val="24"/>
        </w:rPr>
        <w:t>with</w:t>
      </w:r>
      <w:r>
        <w:rPr>
          <w:sz w:val="24"/>
          <w:szCs w:val="24"/>
        </w:rPr>
        <w:t xml:space="preserve">in this metro.  We have added arrows to highlight the </w:t>
      </w:r>
      <w:r w:rsidR="00F53D50">
        <w:rPr>
          <w:sz w:val="24"/>
          <w:szCs w:val="24"/>
        </w:rPr>
        <w:t>inflection points over the past three cycles when prices began to accelerate on the upside.  Note the clear pattern of the high-priced market moving first, followed by the average and then low</w:t>
      </w:r>
      <w:r w:rsidR="00307454">
        <w:rPr>
          <w:sz w:val="24"/>
          <w:szCs w:val="24"/>
        </w:rPr>
        <w:t xml:space="preserve">er-priced ones.  </w:t>
      </w:r>
      <w:r w:rsidR="00307454" w:rsidRPr="00307454">
        <w:rPr>
          <w:b/>
          <w:i/>
          <w:sz w:val="24"/>
          <w:szCs w:val="24"/>
        </w:rPr>
        <w:t>Most newsworthy</w:t>
      </w:r>
      <w:r w:rsidR="00F53D50" w:rsidRPr="00307454">
        <w:rPr>
          <w:b/>
          <w:i/>
          <w:sz w:val="24"/>
          <w:szCs w:val="24"/>
        </w:rPr>
        <w:t xml:space="preserve"> is the latest up move in the Manhattan Beach market which has pushed prices to all-time high levels.</w:t>
      </w:r>
      <w:r w:rsidR="00F53D50">
        <w:rPr>
          <w:sz w:val="24"/>
          <w:szCs w:val="24"/>
        </w:rPr>
        <w:t xml:space="preserve">  This should be viewed as a confirmation that the L.A. County real estate market is </w:t>
      </w:r>
      <w:r w:rsidR="00307454">
        <w:rPr>
          <w:sz w:val="24"/>
          <w:szCs w:val="24"/>
        </w:rPr>
        <w:t>in the early stages of a new upward-</w:t>
      </w:r>
      <w:r w:rsidR="00F53D50">
        <w:rPr>
          <w:sz w:val="24"/>
          <w:szCs w:val="24"/>
        </w:rPr>
        <w:t>cycle in home prices.</w:t>
      </w:r>
    </w:p>
    <w:p w:rsidR="00BB0DF9" w:rsidRDefault="00BB0DF9" w:rsidP="0045259A">
      <w:pPr>
        <w:rPr>
          <w:sz w:val="24"/>
          <w:szCs w:val="24"/>
        </w:rPr>
      </w:pPr>
      <w:r>
        <w:rPr>
          <w:sz w:val="24"/>
          <w:szCs w:val="24"/>
        </w:rPr>
        <w:t xml:space="preserve">The fact that higher priced markets tend to be market leaders is quite logical.  </w:t>
      </w:r>
      <w:r w:rsidR="00EA6118">
        <w:rPr>
          <w:sz w:val="24"/>
          <w:szCs w:val="24"/>
        </w:rPr>
        <w:t>These markets are usuall</w:t>
      </w:r>
      <w:r w:rsidR="00307454">
        <w:rPr>
          <w:sz w:val="24"/>
          <w:szCs w:val="24"/>
        </w:rPr>
        <w:t xml:space="preserve">y situated in </w:t>
      </w:r>
      <w:r w:rsidR="00EA6118">
        <w:rPr>
          <w:sz w:val="24"/>
          <w:szCs w:val="24"/>
        </w:rPr>
        <w:t xml:space="preserve">desirable </w:t>
      </w:r>
      <w:r w:rsidR="00307454">
        <w:rPr>
          <w:sz w:val="24"/>
          <w:szCs w:val="24"/>
        </w:rPr>
        <w:t xml:space="preserve">and very supply constrained </w:t>
      </w:r>
      <w:r w:rsidR="00EA6118">
        <w:rPr>
          <w:sz w:val="24"/>
          <w:szCs w:val="24"/>
        </w:rPr>
        <w:t>locations</w:t>
      </w:r>
      <w:r w:rsidR="00307454">
        <w:rPr>
          <w:sz w:val="24"/>
          <w:szCs w:val="24"/>
        </w:rPr>
        <w:t>.</w:t>
      </w:r>
      <w:r w:rsidR="00EA6118">
        <w:rPr>
          <w:sz w:val="24"/>
          <w:szCs w:val="24"/>
        </w:rPr>
        <w:t xml:space="preserve"> In addition, b</w:t>
      </w:r>
      <w:r>
        <w:rPr>
          <w:sz w:val="24"/>
          <w:szCs w:val="24"/>
        </w:rPr>
        <w:t>u</w:t>
      </w:r>
      <w:r w:rsidR="00EA6118">
        <w:rPr>
          <w:sz w:val="24"/>
          <w:szCs w:val="24"/>
        </w:rPr>
        <w:t>y</w:t>
      </w:r>
      <w:r>
        <w:rPr>
          <w:sz w:val="24"/>
          <w:szCs w:val="24"/>
        </w:rPr>
        <w:t>ers in these markets tend to be better c</w:t>
      </w:r>
      <w:r w:rsidR="00EA6118">
        <w:rPr>
          <w:sz w:val="24"/>
          <w:szCs w:val="24"/>
        </w:rPr>
        <w:t>apitalized</w:t>
      </w:r>
      <w:r w:rsidR="0045259A">
        <w:rPr>
          <w:sz w:val="24"/>
          <w:szCs w:val="24"/>
        </w:rPr>
        <w:t xml:space="preserve"> using more equity and lower loan-to-value mortgages.  The higher priced markets are less affected by the tight underwriting which has plagued the middle and lower price ranges where loan to value average are generally much higher.  These higher priced markets are also highly informed.  The borrowers know that mortgage rates are currently a bargain and they are taking advantage of the historically cheap credit.  Last, these higher priced households are also more likely to have benefitted from the 13% average increase in the stock market in the last few quarters.</w:t>
      </w:r>
    </w:p>
    <w:p w:rsidR="00E85B36" w:rsidRDefault="007D211A">
      <w:pPr>
        <w:rPr>
          <w:b/>
          <w:sz w:val="24"/>
          <w:szCs w:val="24"/>
        </w:rPr>
      </w:pPr>
      <w:r>
        <w:rPr>
          <w:noProof/>
        </w:rPr>
        <w:lastRenderedPageBreak/>
        <w:drawing>
          <wp:inline distT="0" distB="0" distL="0" distR="0" wp14:anchorId="7501CD3E" wp14:editId="612BAAFF">
            <wp:extent cx="5224007" cy="4524292"/>
            <wp:effectExtent l="0" t="0" r="15240" b="1016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EF0B33" w:rsidRPr="00E85B36" w:rsidRDefault="00E85B36">
      <w:pPr>
        <w:rPr>
          <w:sz w:val="24"/>
          <w:szCs w:val="24"/>
        </w:rPr>
      </w:pPr>
      <w:r>
        <w:rPr>
          <w:b/>
          <w:sz w:val="24"/>
          <w:szCs w:val="24"/>
        </w:rPr>
        <w:t xml:space="preserve">                                                                   </w:t>
      </w:r>
      <w:r w:rsidR="00EF0B33" w:rsidRPr="00EF0B33">
        <w:rPr>
          <w:b/>
          <w:sz w:val="24"/>
          <w:szCs w:val="24"/>
        </w:rPr>
        <w:t>Figure 1</w:t>
      </w:r>
    </w:p>
    <w:p w:rsidR="00802906" w:rsidRDefault="009D07EE">
      <w:pPr>
        <w:rPr>
          <w:sz w:val="24"/>
          <w:szCs w:val="24"/>
        </w:rPr>
      </w:pPr>
      <w:r w:rsidRPr="009D07EE">
        <w:rPr>
          <w:sz w:val="24"/>
          <w:szCs w:val="24"/>
        </w:rPr>
        <w:t xml:space="preserve">There are a number of other </w:t>
      </w:r>
      <w:r>
        <w:rPr>
          <w:sz w:val="24"/>
          <w:szCs w:val="24"/>
        </w:rPr>
        <w:t xml:space="preserve">examples of </w:t>
      </w:r>
      <w:r w:rsidRPr="009D07EE">
        <w:rPr>
          <w:sz w:val="24"/>
          <w:szCs w:val="24"/>
        </w:rPr>
        <w:t>high</w:t>
      </w:r>
      <w:r>
        <w:rPr>
          <w:sz w:val="24"/>
          <w:szCs w:val="24"/>
        </w:rPr>
        <w:t>er</w:t>
      </w:r>
      <w:r w:rsidRPr="009D07EE">
        <w:rPr>
          <w:sz w:val="24"/>
          <w:szCs w:val="24"/>
        </w:rPr>
        <w:t xml:space="preserve"> priced markets </w:t>
      </w:r>
      <w:r>
        <w:rPr>
          <w:sz w:val="24"/>
          <w:szCs w:val="24"/>
        </w:rPr>
        <w:t xml:space="preserve">which are exhibiting strong price performance over the past year.  As seen in Figure 2, upscale cities in the Bay Area have been outstanding performers with a number having seen their average sold prices move </w:t>
      </w:r>
      <w:r w:rsidRPr="009D07EE">
        <w:rPr>
          <w:sz w:val="24"/>
          <w:szCs w:val="24"/>
        </w:rPr>
        <w:t>up to all-time record levels.</w:t>
      </w:r>
      <w:r w:rsidR="00A275B0">
        <w:rPr>
          <w:sz w:val="24"/>
          <w:szCs w:val="24"/>
        </w:rPr>
        <w:t xml:space="preserve">  </w:t>
      </w:r>
      <w:r w:rsidR="0045259A">
        <w:rPr>
          <w:sz w:val="24"/>
          <w:szCs w:val="24"/>
        </w:rPr>
        <w:t xml:space="preserve">The Bay area economy has benefitted from the robust growth in the technology sector over the past year.  </w:t>
      </w:r>
      <w:r w:rsidR="00A275B0">
        <w:rPr>
          <w:sz w:val="24"/>
          <w:szCs w:val="24"/>
        </w:rPr>
        <w:t xml:space="preserve">This </w:t>
      </w:r>
      <w:r w:rsidR="00F66DB0">
        <w:rPr>
          <w:sz w:val="24"/>
          <w:szCs w:val="24"/>
        </w:rPr>
        <w:t xml:space="preserve">region’s home price rally </w:t>
      </w:r>
      <w:r w:rsidR="00A275B0">
        <w:rPr>
          <w:sz w:val="24"/>
          <w:szCs w:val="24"/>
        </w:rPr>
        <w:t>has been ignored by most of the media who continue to focus on the distressed markets and the inventory of foreclosure and REO properties.</w:t>
      </w:r>
    </w:p>
    <w:p w:rsidR="009D07EE" w:rsidRDefault="009D07EE">
      <w:pPr>
        <w:rPr>
          <w:sz w:val="24"/>
          <w:szCs w:val="24"/>
        </w:rPr>
      </w:pPr>
    </w:p>
    <w:p w:rsidR="009D07EE" w:rsidRDefault="00860562">
      <w:pPr>
        <w:rPr>
          <w:sz w:val="24"/>
          <w:szCs w:val="24"/>
        </w:rPr>
      </w:pPr>
      <w:r>
        <w:rPr>
          <w:noProof/>
          <w:sz w:val="24"/>
          <w:szCs w:val="24"/>
        </w:rPr>
        <w:drawing>
          <wp:inline distT="0" distB="0" distL="0" distR="0" wp14:anchorId="7E48812B">
            <wp:extent cx="5250280" cy="4460682"/>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1374" cy="4461612"/>
                    </a:xfrm>
                    <a:prstGeom prst="rect">
                      <a:avLst/>
                    </a:prstGeom>
                    <a:noFill/>
                  </pic:spPr>
                </pic:pic>
              </a:graphicData>
            </a:graphic>
          </wp:inline>
        </w:drawing>
      </w:r>
    </w:p>
    <w:p w:rsidR="00EF0B33" w:rsidRDefault="006147FD">
      <w:pPr>
        <w:rPr>
          <w:b/>
          <w:sz w:val="24"/>
          <w:szCs w:val="24"/>
        </w:rPr>
      </w:pPr>
      <w:r>
        <w:rPr>
          <w:sz w:val="24"/>
          <w:szCs w:val="24"/>
        </w:rPr>
        <w:t xml:space="preserve">                                                                   </w:t>
      </w:r>
      <w:r w:rsidR="00EF0B33">
        <w:rPr>
          <w:sz w:val="24"/>
          <w:szCs w:val="24"/>
        </w:rPr>
        <w:t xml:space="preserve"> </w:t>
      </w:r>
      <w:r w:rsidR="00EF0B33" w:rsidRPr="00EF0B33">
        <w:rPr>
          <w:b/>
          <w:sz w:val="24"/>
          <w:szCs w:val="24"/>
        </w:rPr>
        <w:t>Figure 2</w:t>
      </w:r>
    </w:p>
    <w:p w:rsidR="006147FD" w:rsidRDefault="006147FD">
      <w:pPr>
        <w:rPr>
          <w:sz w:val="24"/>
          <w:szCs w:val="24"/>
        </w:rPr>
      </w:pPr>
      <w:r w:rsidRPr="006147FD">
        <w:rPr>
          <w:sz w:val="24"/>
          <w:szCs w:val="24"/>
        </w:rPr>
        <w:t>There are some very interesting trends between lower and higher priced homes even when we stay within the same market.  Figure 3 below shows Palo Alto Single Family average sold p</w:t>
      </w:r>
      <w:r>
        <w:rPr>
          <w:sz w:val="24"/>
          <w:szCs w:val="24"/>
        </w:rPr>
        <w:t>rices for different size homes</w:t>
      </w:r>
      <w:r w:rsidRPr="006147FD">
        <w:rPr>
          <w:sz w:val="24"/>
          <w:szCs w:val="24"/>
        </w:rPr>
        <w:t>.  Note how the largest and most expensive homes were the first to rise in the past year compared to the smaller and relatively less expensive ones.  In addition, their rate of price appreciation has been much higher.</w:t>
      </w:r>
      <w:r>
        <w:rPr>
          <w:sz w:val="24"/>
          <w:szCs w:val="24"/>
        </w:rPr>
        <w:t xml:space="preserve">  </w:t>
      </w:r>
      <w:r w:rsidR="003627CB">
        <w:rPr>
          <w:sz w:val="24"/>
          <w:szCs w:val="24"/>
        </w:rPr>
        <w:t>Again, t</w:t>
      </w:r>
      <w:r>
        <w:rPr>
          <w:sz w:val="24"/>
          <w:szCs w:val="24"/>
        </w:rPr>
        <w:t xml:space="preserve">his suggests that high price homes are market leaders both </w:t>
      </w:r>
      <w:r w:rsidR="00035A05">
        <w:rPr>
          <w:sz w:val="24"/>
          <w:szCs w:val="24"/>
        </w:rPr>
        <w:t>across different markets as well as within the same market.</w:t>
      </w:r>
    </w:p>
    <w:p w:rsidR="006147FD" w:rsidRDefault="006147FD">
      <w:pPr>
        <w:rPr>
          <w:sz w:val="24"/>
          <w:szCs w:val="24"/>
        </w:rPr>
      </w:pPr>
    </w:p>
    <w:p w:rsidR="006147FD" w:rsidRPr="006147FD" w:rsidRDefault="006147FD">
      <w:pPr>
        <w:rPr>
          <w:sz w:val="24"/>
          <w:szCs w:val="24"/>
        </w:rPr>
      </w:pPr>
      <w:r>
        <w:rPr>
          <w:noProof/>
          <w:sz w:val="24"/>
          <w:szCs w:val="24"/>
        </w:rPr>
        <w:drawing>
          <wp:inline distT="0" distB="0" distL="0" distR="0" wp14:anchorId="1E51E5E0">
            <wp:extent cx="5312418" cy="492185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7499" cy="4926564"/>
                    </a:xfrm>
                    <a:prstGeom prst="rect">
                      <a:avLst/>
                    </a:prstGeom>
                    <a:noFill/>
                  </pic:spPr>
                </pic:pic>
              </a:graphicData>
            </a:graphic>
          </wp:inline>
        </w:drawing>
      </w:r>
    </w:p>
    <w:p w:rsidR="00EF0B33" w:rsidRPr="00EF0B33" w:rsidRDefault="006147FD">
      <w:pPr>
        <w:rPr>
          <w:b/>
          <w:sz w:val="24"/>
          <w:szCs w:val="24"/>
        </w:rPr>
      </w:pPr>
      <w:r>
        <w:rPr>
          <w:sz w:val="24"/>
          <w:szCs w:val="24"/>
        </w:rPr>
        <w:t xml:space="preserve">                                                                    </w:t>
      </w:r>
      <w:r w:rsidR="00EF0B33" w:rsidRPr="00EF0B33">
        <w:rPr>
          <w:b/>
          <w:sz w:val="24"/>
          <w:szCs w:val="24"/>
        </w:rPr>
        <w:t>Figure 3</w:t>
      </w:r>
    </w:p>
    <w:p w:rsidR="00802906" w:rsidRDefault="00802906">
      <w:pPr>
        <w:rPr>
          <w:sz w:val="24"/>
          <w:szCs w:val="24"/>
        </w:rPr>
      </w:pPr>
    </w:p>
    <w:p w:rsidR="00802906" w:rsidRPr="00A72A1D" w:rsidRDefault="00802906">
      <w:pPr>
        <w:rPr>
          <w:sz w:val="24"/>
          <w:szCs w:val="24"/>
        </w:rPr>
      </w:pPr>
    </w:p>
    <w:p w:rsidR="00415318" w:rsidRDefault="00415318">
      <w:pPr>
        <w:rPr>
          <w:sz w:val="24"/>
          <w:szCs w:val="24"/>
        </w:rPr>
      </w:pPr>
    </w:p>
    <w:p w:rsidR="005274E7" w:rsidRDefault="005274E7">
      <w:pPr>
        <w:rPr>
          <w:b/>
          <w:sz w:val="24"/>
          <w:szCs w:val="24"/>
        </w:rPr>
      </w:pPr>
    </w:p>
    <w:p w:rsidR="005274E7" w:rsidRDefault="005274E7">
      <w:pPr>
        <w:rPr>
          <w:b/>
          <w:sz w:val="24"/>
          <w:szCs w:val="24"/>
        </w:rPr>
      </w:pPr>
      <w:r>
        <w:rPr>
          <w:b/>
          <w:sz w:val="24"/>
          <w:szCs w:val="24"/>
        </w:rPr>
        <w:t xml:space="preserve"> </w:t>
      </w:r>
      <w:r w:rsidR="001759C3">
        <w:rPr>
          <w:b/>
          <w:sz w:val="24"/>
          <w:szCs w:val="24"/>
        </w:rPr>
        <w:t xml:space="preserve">                                                                   </w:t>
      </w:r>
    </w:p>
    <w:p w:rsidR="006724E5" w:rsidRPr="00E41E8A" w:rsidRDefault="006724E5" w:rsidP="00E70FFE">
      <w:pPr>
        <w:rPr>
          <w:b/>
          <w:sz w:val="24"/>
          <w:szCs w:val="24"/>
        </w:rPr>
      </w:pPr>
      <w:r>
        <w:rPr>
          <w:b/>
          <w:sz w:val="24"/>
          <w:szCs w:val="24"/>
        </w:rPr>
        <w:t xml:space="preserve">                                             </w:t>
      </w:r>
      <w:r w:rsidR="00E41E8A">
        <w:rPr>
          <w:b/>
          <w:sz w:val="24"/>
          <w:szCs w:val="24"/>
        </w:rPr>
        <w:t xml:space="preserve">                            </w:t>
      </w:r>
    </w:p>
    <w:p w:rsidR="00A275B0" w:rsidRDefault="00A275B0" w:rsidP="00A43EBF">
      <w:pPr>
        <w:rPr>
          <w:rFonts w:ascii="Arial" w:hAnsi="Arial" w:cs="Arial"/>
          <w:b/>
        </w:rPr>
      </w:pPr>
    </w:p>
    <w:p w:rsidR="00A275B0" w:rsidRDefault="00A275B0" w:rsidP="00A43EBF">
      <w:pPr>
        <w:rPr>
          <w:rFonts w:ascii="Arial" w:hAnsi="Arial" w:cs="Arial"/>
          <w:b/>
        </w:rPr>
      </w:pPr>
    </w:p>
    <w:p w:rsidR="00A43EBF" w:rsidRPr="00891DBB" w:rsidRDefault="00A43EBF" w:rsidP="00A43EBF">
      <w:pPr>
        <w:rPr>
          <w:rFonts w:ascii="Arial" w:hAnsi="Arial" w:cs="Arial"/>
          <w:b/>
        </w:rPr>
      </w:pPr>
      <w:r w:rsidRPr="00891DBB">
        <w:rPr>
          <w:rFonts w:ascii="Arial" w:hAnsi="Arial" w:cs="Arial"/>
          <w:b/>
        </w:rPr>
        <w:t>CBSA Winners and Losers</w:t>
      </w:r>
    </w:p>
    <w:p w:rsidR="00A43EBF" w:rsidRPr="00A43EBF" w:rsidRDefault="00A43EBF" w:rsidP="00A43EBF">
      <w:pPr>
        <w:rPr>
          <w:rFonts w:ascii="Calibri" w:hAnsi="Calibri" w:cs="Calibri"/>
        </w:rPr>
      </w:pPr>
      <w:r w:rsidRPr="00A43EBF">
        <w:rPr>
          <w:rFonts w:ascii="Calibri" w:hAnsi="Calibri" w:cs="Calibri"/>
        </w:rPr>
        <w:t>Each month Home Value Forecast ranks the single family home markets in the top 200 CBSAs to highlight the best and worst metros with regard to a number of leading real estate market based indicators.</w:t>
      </w:r>
    </w:p>
    <w:p w:rsidR="00A43EBF" w:rsidRPr="00A43EBF" w:rsidRDefault="00A43EBF" w:rsidP="00A43EBF">
      <w:pPr>
        <w:rPr>
          <w:rFonts w:ascii="Calibri" w:hAnsi="Calibri" w:cs="Calibri"/>
        </w:rPr>
      </w:pPr>
      <w:r w:rsidRPr="00A43EBF">
        <w:rPr>
          <w:rFonts w:ascii="Calibri" w:hAnsi="Calibri" w:cs="Calibri"/>
        </w:rPr>
        <w:t>The ranking system is purely objective and is based on directional trends. Each indicator is given a score based on whether the trend is positive, negative, or neutral for that series. For example, a declining trend in active listings would be positive as will be an increasing trend in average price. A composite score for each CBSA is calculated by summing the directional scores of each of its indicators. From the universe of the top 200 CBSAs, we highlight each month the CBSAs which have the highest and lowest composite scores.</w:t>
      </w:r>
    </w:p>
    <w:p w:rsidR="00E70FFE" w:rsidRPr="00A43EBF" w:rsidRDefault="00A43EBF" w:rsidP="00E70FFE">
      <w:pPr>
        <w:rPr>
          <w:rFonts w:ascii="Calibri" w:hAnsi="Calibri" w:cs="Calibri"/>
        </w:rPr>
      </w:pPr>
      <w:r w:rsidRPr="00A43EBF">
        <w:rPr>
          <w:rFonts w:ascii="Calibri" w:hAnsi="Calibri" w:cs="Calibri"/>
        </w:rPr>
        <w:t>The tables below show the individual market indicators which are being used to rank the CBSAs along with the most recent values and the percent changes. We have color-coded each of the indicators to help visualize whether it is moving in a positive (green) or negative (red) direction.</w:t>
      </w:r>
    </w:p>
    <w:p w:rsidR="00713C72" w:rsidRDefault="00713C72" w:rsidP="00E70FFE"/>
    <w:p w:rsidR="00713C72" w:rsidRDefault="00713C72" w:rsidP="00E70FFE"/>
    <w:p w:rsidR="00713C72" w:rsidRPr="0024753C" w:rsidRDefault="00713C72" w:rsidP="00713C72">
      <w:pPr>
        <w:rPr>
          <w:b/>
        </w:rPr>
      </w:pPr>
      <w:r w:rsidRPr="0024753C">
        <w:rPr>
          <w:b/>
        </w:rPr>
        <w:t>Top 10 CBSAs</w:t>
      </w:r>
    </w:p>
    <w:p w:rsidR="00713C72" w:rsidRDefault="00713C72" w:rsidP="00713C72"/>
    <w:p w:rsidR="00713C72" w:rsidRDefault="00B5608B" w:rsidP="00713C72">
      <w:r w:rsidRPr="00B5608B">
        <w:rPr>
          <w:noProof/>
        </w:rPr>
        <w:drawing>
          <wp:inline distT="0" distB="0" distL="0" distR="0" wp14:anchorId="750AA80F" wp14:editId="34DE4687">
            <wp:extent cx="5943600" cy="131354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313543"/>
                    </a:xfrm>
                    <a:prstGeom prst="rect">
                      <a:avLst/>
                    </a:prstGeom>
                    <a:noFill/>
                    <a:ln>
                      <a:noFill/>
                    </a:ln>
                  </pic:spPr>
                </pic:pic>
              </a:graphicData>
            </a:graphic>
          </wp:inline>
        </w:drawing>
      </w:r>
    </w:p>
    <w:p w:rsidR="00713C72" w:rsidRDefault="00713C72" w:rsidP="00E70FFE"/>
    <w:p w:rsidR="00235605" w:rsidRDefault="00E70FFE" w:rsidP="00E70FFE">
      <w:r w:rsidRPr="00E70FFE">
        <w:t>The top ranked metros in the current mo</w:t>
      </w:r>
      <w:r w:rsidR="00E7353F">
        <w:t xml:space="preserve">nth include markets from all major regions </w:t>
      </w:r>
      <w:r w:rsidRPr="00E70FFE">
        <w:t xml:space="preserve">of </w:t>
      </w:r>
      <w:r w:rsidR="00E7353F">
        <w:t xml:space="preserve">the </w:t>
      </w:r>
      <w:r w:rsidRPr="00E70FFE">
        <w:t>U.S</w:t>
      </w:r>
      <w:r w:rsidR="00337203">
        <w:t xml:space="preserve">. </w:t>
      </w:r>
      <w:r w:rsidR="00AA4593">
        <w:t xml:space="preserve"> Three</w:t>
      </w:r>
      <w:r w:rsidR="00E7353F">
        <w:t xml:space="preserve"> of the </w:t>
      </w:r>
      <w:r w:rsidR="00AA4593">
        <w:t>top markets are in Southern California and include the important Los Angeles and Orange County (Santa Ana-Anaheim-Irvine) CBSAs.  A</w:t>
      </w:r>
      <w:r w:rsidR="00E7353F">
        <w:t xml:space="preserve">nother two </w:t>
      </w:r>
      <w:r w:rsidR="003768C4">
        <w:t>ar</w:t>
      </w:r>
      <w:r w:rsidR="00AA4593">
        <w:t>e located in Massachusetts and include the widely followed Boston-Quincy CBSA</w:t>
      </w:r>
      <w:r w:rsidR="00E7353F">
        <w:t xml:space="preserve">. </w:t>
      </w:r>
      <w:r w:rsidR="0092761E">
        <w:t xml:space="preserve"> </w:t>
      </w:r>
      <w:r w:rsidR="00AA4593">
        <w:t>A new entrant to the Top 10 list this month is Indianapolis-Carmel.  Like a number of Mid-West markets, this is one which did not participate in the nationwide housing bubble and, thus, did not need to experience a significant price correction.  In fact, Indianapol</w:t>
      </w:r>
      <w:r w:rsidR="00235605">
        <w:t>is home prices have been among</w:t>
      </w:r>
      <w:r w:rsidR="00AA4593">
        <w:t xml:space="preserve"> the most affordable in the country </w:t>
      </w:r>
      <w:r w:rsidR="00235605">
        <w:t xml:space="preserve">for many years.   The result is that this is another market which has very compelling rental yields which is apparently attracting both institutional and individual single family home investors.   </w:t>
      </w:r>
      <w:r w:rsidR="003627CB">
        <w:t>Such investment pools certainly exceed the available supply of distressed inventory as we enter into mid-2013.  The distress investors to date have tended to go where the volumes of distress were highest, resulting in rapid declines in the discounts available on REO purchases and multiple buyers in the herd of investors trying to fill their quotas.  This has benefitted markets like Phoenix and Sacramento who are no longer on the list.</w:t>
      </w:r>
    </w:p>
    <w:p w:rsidR="00E70FFE" w:rsidRPr="00E70FFE" w:rsidRDefault="003627CB" w:rsidP="00E70FFE">
      <w:r>
        <w:t>S</w:t>
      </w:r>
      <w:r w:rsidR="007C4B67">
        <w:t>everal of the t</w:t>
      </w:r>
      <w:r w:rsidR="00235605">
        <w:t xml:space="preserve">op markets from late last year </w:t>
      </w:r>
      <w:r w:rsidR="007C4B67">
        <w:t>are no longer on the list because the</w:t>
      </w:r>
      <w:r w:rsidR="00AB7D79">
        <w:t>ir</w:t>
      </w:r>
      <w:r w:rsidR="007C4B67">
        <w:t xml:space="preserve"> year-over-year sales counts are down.  However, the reason for this is that sales are being constrained by a lack of inventory rather than a decrease in demand.  </w:t>
      </w:r>
      <w:r w:rsidR="003768C4">
        <w:t xml:space="preserve">Note that all the indicators in the Top 10 list are colored green which means that they are </w:t>
      </w:r>
      <w:r w:rsidR="0092761E">
        <w:t xml:space="preserve">universally </w:t>
      </w:r>
      <w:r w:rsidR="003768C4">
        <w:t xml:space="preserve">exhibiting positive trends.  </w:t>
      </w:r>
      <w:r w:rsidR="00E70FFE" w:rsidRPr="00E70FFE">
        <w:t xml:space="preserve">One thing that all these markets have in common is that they all have experienced significant declines in active listing counts over the past year.  </w:t>
      </w:r>
      <w:r>
        <w:t>M</w:t>
      </w:r>
      <w:r w:rsidR="00E70FFE" w:rsidRPr="00E70FFE">
        <w:t>ost of th</w:t>
      </w:r>
      <w:r w:rsidR="00AA1D19">
        <w:t>ese currently having</w:t>
      </w:r>
      <w:r w:rsidR="00E70FFE" w:rsidRPr="00E70FFE">
        <w:t xml:space="preserve"> tight markets based on their Months of Inventory Remaining </w:t>
      </w:r>
      <w:r w:rsidR="00826D91">
        <w:t>figures</w:t>
      </w:r>
      <w:r w:rsidR="00E70FFE" w:rsidRPr="00E70FFE">
        <w:t>.</w:t>
      </w:r>
    </w:p>
    <w:p w:rsidR="00713C72" w:rsidRPr="0024753C" w:rsidRDefault="00713C72" w:rsidP="00713C72">
      <w:pPr>
        <w:rPr>
          <w:b/>
        </w:rPr>
      </w:pPr>
      <w:r w:rsidRPr="0024753C">
        <w:rPr>
          <w:b/>
        </w:rPr>
        <w:t>Bottom 10 CBSAs</w:t>
      </w:r>
    </w:p>
    <w:p w:rsidR="00713C72" w:rsidRDefault="00EB6C96" w:rsidP="00713C72">
      <w:r w:rsidRPr="00EB6C96">
        <w:rPr>
          <w:noProof/>
        </w:rPr>
        <w:drawing>
          <wp:inline distT="0" distB="0" distL="0" distR="0" wp14:anchorId="4B9543D3" wp14:editId="3857C527">
            <wp:extent cx="5943600" cy="131354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313543"/>
                    </a:xfrm>
                    <a:prstGeom prst="rect">
                      <a:avLst/>
                    </a:prstGeom>
                    <a:noFill/>
                    <a:ln>
                      <a:noFill/>
                    </a:ln>
                  </pic:spPr>
                </pic:pic>
              </a:graphicData>
            </a:graphic>
          </wp:inline>
        </w:drawing>
      </w:r>
    </w:p>
    <w:p w:rsidR="00713C72" w:rsidRDefault="00713C72" w:rsidP="00E70FFE"/>
    <w:p w:rsidR="00962C4E" w:rsidRPr="00E70FFE" w:rsidRDefault="00953FFF" w:rsidP="00E70FFE">
      <w:r>
        <w:t>T</w:t>
      </w:r>
      <w:r w:rsidR="00E70FFE" w:rsidRPr="00E70FFE">
        <w:t>he bot</w:t>
      </w:r>
      <w:r>
        <w:t>tom ranked metros also represe</w:t>
      </w:r>
      <w:r w:rsidR="00C85F63">
        <w:t>nt and interesting mix with two</w:t>
      </w:r>
      <w:r w:rsidR="004D4D9E">
        <w:t xml:space="preserve"> being in the upstate New York</w:t>
      </w:r>
      <w:r>
        <w:t xml:space="preserve"> area</w:t>
      </w:r>
      <w:r w:rsidR="004D4D9E">
        <w:t xml:space="preserve"> and two being in Louisiana.  </w:t>
      </w:r>
      <w:r>
        <w:t xml:space="preserve"> As seen in the table, m</w:t>
      </w:r>
      <w:r w:rsidR="003768C4">
        <w:t xml:space="preserve">ost </w:t>
      </w:r>
      <w:r w:rsidR="00E70FFE" w:rsidRPr="00E70FFE">
        <w:t xml:space="preserve">have </w:t>
      </w:r>
      <w:r w:rsidR="00C85F63">
        <w:t xml:space="preserve">high single or </w:t>
      </w:r>
      <w:r w:rsidR="003B0FC1">
        <w:t>double-digit</w:t>
      </w:r>
      <w:r w:rsidR="00622B1A">
        <w:t xml:space="preserve"> </w:t>
      </w:r>
      <w:r w:rsidR="00E70FFE" w:rsidRPr="00E70FFE">
        <w:t>Months of Invent</w:t>
      </w:r>
      <w:r w:rsidR="00CB306B">
        <w:t xml:space="preserve">ory Remaining.  </w:t>
      </w:r>
      <w:r w:rsidR="00622B1A">
        <w:t>However, o</w:t>
      </w:r>
      <w:r w:rsidR="00CB306B">
        <w:t xml:space="preserve">ur top and bottom ranked CBSAs are ranked on a relative basis.  Thus, even the ones in the Bottom 10 list are showing a fair percentage of positive (green) trends.  This is quite different from last year when the majority of the Bottom 10 markets had most (or all) of their indicators </w:t>
      </w:r>
      <w:r w:rsidR="00713C72">
        <w:t xml:space="preserve">trending negative and </w:t>
      </w:r>
      <w:r w:rsidR="00CB306B">
        <w:t xml:space="preserve">colored red.  </w:t>
      </w:r>
    </w:p>
    <w:p w:rsidR="008F3D7F" w:rsidRDefault="008F3D7F" w:rsidP="00A4786F">
      <w:r w:rsidRPr="008F3D7F">
        <w:t>Our Market Condition thematic maps are a good way to visualiz</w:t>
      </w:r>
      <w:r w:rsidR="00252BBF">
        <w:t>e the more geographically granular</w:t>
      </w:r>
      <w:r w:rsidR="00924CAC">
        <w:t xml:space="preserve"> conditions</w:t>
      </w:r>
      <w:r w:rsidR="00E33EF6">
        <w:t xml:space="preserve"> </w:t>
      </w:r>
      <w:r w:rsidR="00252BBF">
        <w:t xml:space="preserve">within the metros.  </w:t>
      </w:r>
      <w:r w:rsidR="00E33EF6">
        <w:t>Figure 4</w:t>
      </w:r>
      <w:r w:rsidR="00252BBF">
        <w:t xml:space="preserve"> below shows zip code</w:t>
      </w:r>
      <w:r w:rsidRPr="008F3D7F">
        <w:t xml:space="preserve"> single fam</w:t>
      </w:r>
      <w:r w:rsidR="00BC5303">
        <w:t xml:space="preserve">ily rankings </w:t>
      </w:r>
      <w:r w:rsidR="00E366B9">
        <w:t>for the Los Angeles-Long Beach-Glendale</w:t>
      </w:r>
      <w:r w:rsidR="00100BCB">
        <w:t xml:space="preserve"> </w:t>
      </w:r>
      <w:r w:rsidR="00252BBF">
        <w:t>area.</w:t>
      </w:r>
    </w:p>
    <w:p w:rsidR="008F3D7F" w:rsidRPr="008F3D7F" w:rsidRDefault="008F3D7F" w:rsidP="00A4786F">
      <w:r w:rsidRPr="008F3D7F">
        <w:t xml:space="preserve"> </w:t>
      </w:r>
      <w:r w:rsidR="00924CAC">
        <w:rPr>
          <w:noProof/>
        </w:rPr>
        <w:drawing>
          <wp:inline distT="0" distB="0" distL="0" distR="0" wp14:anchorId="4289C95B">
            <wp:extent cx="6255887" cy="394384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8491" cy="3945488"/>
                    </a:xfrm>
                    <a:prstGeom prst="rect">
                      <a:avLst/>
                    </a:prstGeom>
                    <a:noFill/>
                  </pic:spPr>
                </pic:pic>
              </a:graphicData>
            </a:graphic>
          </wp:inline>
        </w:drawing>
      </w:r>
    </w:p>
    <w:p w:rsidR="008F3D7F" w:rsidRPr="00BD4107" w:rsidRDefault="008F3D7F" w:rsidP="00A4786F">
      <w:pPr>
        <w:rPr>
          <w:sz w:val="24"/>
          <w:szCs w:val="24"/>
        </w:rPr>
      </w:pPr>
    </w:p>
    <w:p w:rsidR="008F3D7F" w:rsidRDefault="008F3D7F" w:rsidP="00A4786F">
      <w:pPr>
        <w:rPr>
          <w:b/>
          <w:sz w:val="24"/>
          <w:szCs w:val="24"/>
        </w:rPr>
      </w:pPr>
      <w:r>
        <w:rPr>
          <w:b/>
          <w:sz w:val="24"/>
          <w:szCs w:val="24"/>
        </w:rPr>
        <w:t xml:space="preserve">                                                                             </w:t>
      </w:r>
      <w:r w:rsidR="00E33EF6">
        <w:rPr>
          <w:b/>
          <w:sz w:val="24"/>
          <w:szCs w:val="24"/>
        </w:rPr>
        <w:t>Figure 4</w:t>
      </w:r>
    </w:p>
    <w:p w:rsidR="008F3D7F" w:rsidRDefault="00BF0303" w:rsidP="00A4786F">
      <w:pPr>
        <w:rPr>
          <w:b/>
          <w:sz w:val="24"/>
          <w:szCs w:val="24"/>
        </w:rPr>
      </w:pPr>
      <w:r>
        <w:rPr>
          <w:b/>
          <w:sz w:val="24"/>
          <w:szCs w:val="24"/>
        </w:rPr>
        <w:t xml:space="preserve">                                                               </w:t>
      </w:r>
    </w:p>
    <w:p w:rsidR="00A4786F" w:rsidRPr="00A4786F" w:rsidRDefault="00A4786F" w:rsidP="00A4786F">
      <w:pPr>
        <w:rPr>
          <w:b/>
          <w:sz w:val="24"/>
          <w:szCs w:val="24"/>
        </w:rPr>
      </w:pPr>
      <w:r w:rsidRPr="00A4786F">
        <w:rPr>
          <w:b/>
          <w:sz w:val="24"/>
          <w:szCs w:val="24"/>
        </w:rPr>
        <w:t>Outliers</w:t>
      </w:r>
    </w:p>
    <w:p w:rsidR="00A4786F" w:rsidRDefault="00A4786F" w:rsidP="00A4786F">
      <w:r>
        <w:t>In this month’s Outliers, we highlight the</w:t>
      </w:r>
      <w:r w:rsidR="00592AA3">
        <w:t xml:space="preserve"> Los Angeles-Long Beach-Glendale, C</w:t>
      </w:r>
      <w:r>
        <w:t>A CBSA, which is currently in the list of the Top 10</w:t>
      </w:r>
      <w:r w:rsidR="00592AA3">
        <w:t xml:space="preserve"> metros. </w:t>
      </w:r>
      <w:r w:rsidR="00020A85">
        <w:t xml:space="preserve">  </w:t>
      </w:r>
      <w:r>
        <w:t>As seen in</w:t>
      </w:r>
      <w:r w:rsidR="00E10E97">
        <w:t xml:space="preserve"> the ranking table above,</w:t>
      </w:r>
      <w:r>
        <w:t xml:space="preserve"> all of its important market indicators </w:t>
      </w:r>
      <w:r w:rsidR="00592AA3">
        <w:t xml:space="preserve">for this </w:t>
      </w:r>
      <w:r w:rsidR="00D94978">
        <w:t xml:space="preserve">CBSA </w:t>
      </w:r>
      <w:r>
        <w:t xml:space="preserve">are showing positive trends on a year-over-year basis including declining inventory, </w:t>
      </w:r>
      <w:r w:rsidR="00020A85">
        <w:t xml:space="preserve">lower Inventory Remaining, </w:t>
      </w:r>
      <w:r>
        <w:t>declining market times and lower distressed sales activity to name a few.</w:t>
      </w:r>
    </w:p>
    <w:p w:rsidR="00A4786F" w:rsidRDefault="00592AA3" w:rsidP="00A4786F">
      <w:r>
        <w:t>Within the Los Angeles-Long Beach-Glendale</w:t>
      </w:r>
      <w:r w:rsidR="00BE1F61">
        <w:t xml:space="preserve"> </w:t>
      </w:r>
      <w:r w:rsidR="00A4786F">
        <w:t>CBSA there are</w:t>
      </w:r>
      <w:r w:rsidR="00E10E97">
        <w:t xml:space="preserve"> numerous</w:t>
      </w:r>
      <w:r w:rsidR="00072EF6">
        <w:t xml:space="preserve"> sub-markets.  On a Zip</w:t>
      </w:r>
      <w:r w:rsidR="00A4786F">
        <w:t xml:space="preserve"> code level, one of parti</w:t>
      </w:r>
      <w:r>
        <w:t>cular interest is Zip code 91108, San Marino, C</w:t>
      </w:r>
      <w:r w:rsidR="00A4786F">
        <w:t>A</w:t>
      </w:r>
      <w:r>
        <w:t xml:space="preserve"> which is one of the higher priced markets </w:t>
      </w:r>
      <w:r w:rsidR="004A200C">
        <w:t xml:space="preserve">which we </w:t>
      </w:r>
      <w:r>
        <w:t>discussed above</w:t>
      </w:r>
      <w:r w:rsidR="00A4786F">
        <w:t xml:space="preserve">.  </w:t>
      </w:r>
    </w:p>
    <w:p w:rsidR="00E10E97" w:rsidRDefault="00592AA3" w:rsidP="00A4786F">
      <w:r w:rsidRPr="00592AA3">
        <w:rPr>
          <w:noProof/>
        </w:rPr>
        <w:drawing>
          <wp:inline distT="0" distB="0" distL="0" distR="0" wp14:anchorId="0E919255" wp14:editId="01A77676">
            <wp:extent cx="5477273" cy="3482672"/>
            <wp:effectExtent l="0" t="0" r="0" b="3810"/>
            <wp:docPr id="31" name="Picture 31" descr="http://www.homepricetrends.com/charts/ezj4ye55qlpkzh55f3abp255_634964457369029580_91108_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omepricetrends.com/charts/ezj4ye55qlpkzh55f3abp255_634964457369029580_91108_19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0626" cy="3484804"/>
                    </a:xfrm>
                    <a:prstGeom prst="rect">
                      <a:avLst/>
                    </a:prstGeom>
                    <a:noFill/>
                    <a:ln>
                      <a:noFill/>
                    </a:ln>
                  </pic:spPr>
                </pic:pic>
              </a:graphicData>
            </a:graphic>
          </wp:inline>
        </w:drawing>
      </w:r>
    </w:p>
    <w:p w:rsidR="00A4786F" w:rsidRPr="00E10E97" w:rsidRDefault="00E10E97" w:rsidP="00A4786F">
      <w:pPr>
        <w:rPr>
          <w:b/>
          <w:sz w:val="24"/>
          <w:szCs w:val="24"/>
        </w:rPr>
      </w:pPr>
      <w:r>
        <w:rPr>
          <w:b/>
          <w:sz w:val="24"/>
          <w:szCs w:val="24"/>
        </w:rPr>
        <w:t xml:space="preserve">                       </w:t>
      </w:r>
      <w:r w:rsidR="00592AA3">
        <w:rPr>
          <w:b/>
          <w:sz w:val="24"/>
          <w:szCs w:val="24"/>
        </w:rPr>
        <w:t>Figure 5: CBSA – Los Angeles-Long Beach-Glendale | ZIP 91108, San Marino, C</w:t>
      </w:r>
      <w:r w:rsidR="00A4786F" w:rsidRPr="00E10E97">
        <w:rPr>
          <w:b/>
          <w:sz w:val="24"/>
          <w:szCs w:val="24"/>
        </w:rPr>
        <w:t>A</w:t>
      </w:r>
    </w:p>
    <w:p w:rsidR="00A4786F" w:rsidRDefault="00072EF6" w:rsidP="00A4786F">
      <w:r>
        <w:t>As seen in Figure 5</w:t>
      </w:r>
      <w:r w:rsidR="00A4786F">
        <w:t xml:space="preserve">, </w:t>
      </w:r>
      <w:r w:rsidR="001106F2">
        <w:t xml:space="preserve">single family </w:t>
      </w:r>
      <w:r>
        <w:t>home prices in this Zip</w:t>
      </w:r>
      <w:r w:rsidR="00592AA3">
        <w:t xml:space="preserve"> code have moved completer counter to the Los Angeles</w:t>
      </w:r>
      <w:r>
        <w:t xml:space="preserve"> </w:t>
      </w:r>
      <w:r w:rsidR="006A31C1">
        <w:t>metro since the</w:t>
      </w:r>
      <w:r w:rsidR="00D33E37">
        <w:t xml:space="preserve"> market peak.  </w:t>
      </w:r>
      <w:r w:rsidR="00A4786F">
        <w:t xml:space="preserve">  </w:t>
      </w:r>
      <w:r w:rsidR="00592AA3">
        <w:t>In addition, as seen in Figure 5</w:t>
      </w:r>
      <w:r w:rsidR="00A4786F">
        <w:t>, our home price f</w:t>
      </w:r>
      <w:r>
        <w:t>orecast models call for this Zip</w:t>
      </w:r>
      <w:r w:rsidR="00A4786F">
        <w:t xml:space="preserve"> code to perform </w:t>
      </w:r>
      <w:r w:rsidR="00592AA3">
        <w:t>much</w:t>
      </w:r>
      <w:r w:rsidR="006A31C1">
        <w:t xml:space="preserve"> </w:t>
      </w:r>
      <w:r w:rsidR="00592AA3">
        <w:t xml:space="preserve">better and move to all-time highs </w:t>
      </w:r>
      <w:r w:rsidR="00A4786F">
        <w:t xml:space="preserve">over the next several years.   </w:t>
      </w:r>
    </w:p>
    <w:p w:rsidR="00A4786F" w:rsidRDefault="00E10E97" w:rsidP="00A4786F">
      <w:r>
        <w:t>There are a number of reasons for the historical and forec</w:t>
      </w:r>
      <w:r w:rsidR="00072EF6">
        <w:t>asted outperformance of this Zip</w:t>
      </w:r>
      <w:r>
        <w:t xml:space="preserve"> c</w:t>
      </w:r>
      <w:r w:rsidR="00BE1F61">
        <w:t>ode which include the fact that</w:t>
      </w:r>
      <w:r w:rsidR="006A45F8">
        <w:t xml:space="preserve"> </w:t>
      </w:r>
      <w:r w:rsidR="00072EF6">
        <w:t>homebuyers in this Zip</w:t>
      </w:r>
      <w:r w:rsidR="00A4786F">
        <w:t xml:space="preserve"> code have </w:t>
      </w:r>
      <w:r w:rsidR="006A45F8">
        <w:t xml:space="preserve">historically </w:t>
      </w:r>
      <w:r w:rsidR="00A4786F">
        <w:t>been better capitalized and, thus, better able to weather declines in home prices.  The average loan-t</w:t>
      </w:r>
      <w:r w:rsidR="00592AA3">
        <w:t>o-value (LTV) ratio in Zip 91108</w:t>
      </w:r>
      <w:r w:rsidR="00A4786F">
        <w:t xml:space="preserve"> has</w:t>
      </w:r>
      <w:r w:rsidR="006A31C1">
        <w:t xml:space="preserve"> hist</w:t>
      </w:r>
      <w:r w:rsidR="00BE1F61">
        <w:t>orically bee</w:t>
      </w:r>
      <w:r w:rsidR="00592AA3">
        <w:t>n below 70</w:t>
      </w:r>
      <w:r w:rsidR="00A4786F">
        <w:t xml:space="preserve"> perce</w:t>
      </w:r>
      <w:r w:rsidR="00D33E37">
        <w:t xml:space="preserve">nt </w:t>
      </w:r>
      <w:r w:rsidR="00BE1F61">
        <w:t xml:space="preserve">compared to approximately </w:t>
      </w:r>
      <w:r w:rsidR="006A45F8">
        <w:t xml:space="preserve">80 </w:t>
      </w:r>
      <w:r w:rsidR="00A4786F">
        <w:t>per</w:t>
      </w:r>
      <w:r w:rsidR="00BE1F61">
        <w:t xml:space="preserve">cent </w:t>
      </w:r>
      <w:r w:rsidR="00592AA3">
        <w:t>for the overall Los Angeles-Long Beach-Glendale, CA</w:t>
      </w:r>
      <w:r w:rsidR="006A45F8">
        <w:t xml:space="preserve"> </w:t>
      </w:r>
      <w:r w:rsidR="00A4786F">
        <w:t>CBSA.</w:t>
      </w:r>
    </w:p>
    <w:p w:rsidR="00A4786F" w:rsidRDefault="00A4786F" w:rsidP="00A4786F"/>
    <w:p w:rsidR="00A4786F" w:rsidRDefault="00A4786F" w:rsidP="00A4786F">
      <w:r w:rsidRPr="00095B3F">
        <w:rPr>
          <w:b/>
          <w:sz w:val="24"/>
          <w:szCs w:val="24"/>
        </w:rPr>
        <w:t>About Home Value Forecast</w:t>
      </w:r>
    </w:p>
    <w:p w:rsidR="00A43EBF" w:rsidRDefault="00A4786F">
      <w:r>
        <w:t>Home Value Forecast was created from a strategic partnership between Pro Teck Valuation Services and Collateral Analytics. HVF provides insight into the current and future state of the U.S. housing market, and delivers 14 market snapshot graphs from the top 30 CBSAs.</w:t>
      </w:r>
      <w:r w:rsidR="00826D91">
        <w:t xml:space="preserve">    </w:t>
      </w:r>
      <w:r>
        <w:t>Each month Home Value Forecast delivers a monthly briefing along with “Lessons from the Data,” an in-depth article based on trends unearthed in the data.</w:t>
      </w:r>
      <w:r w:rsidR="00543DD2">
        <w:t xml:space="preserve"> </w:t>
      </w:r>
      <w:r>
        <w:t>HVF is built using numerous data sources including public records, local market MLS and general economic data. The top 750 CBSAs as well as data down to the ZIP code level for approximately 18,000 ZIPs are available with a corporate subscription to the service. A demonstration is available upon request.</w:t>
      </w:r>
      <w:r w:rsidR="00543DD2">
        <w:t xml:space="preserve"> </w:t>
      </w:r>
      <w:r>
        <w:t xml:space="preserve"> Please </w:t>
      </w:r>
      <w:r w:rsidR="00543DD2">
        <w:t xml:space="preserve">see </w:t>
      </w:r>
      <w:hyperlink r:id="rId12" w:history="1">
        <w:r w:rsidR="00543DD2" w:rsidRPr="00016986">
          <w:rPr>
            <w:rStyle w:val="Hyperlink"/>
          </w:rPr>
          <w:t>www.collateralanalytics.com</w:t>
        </w:r>
      </w:hyperlink>
      <w:r w:rsidR="00944ED6">
        <w:t xml:space="preserve"> or see </w:t>
      </w:r>
      <w:hyperlink r:id="rId13" w:history="1">
        <w:r w:rsidR="00944ED6" w:rsidRPr="00016986">
          <w:rPr>
            <w:rStyle w:val="Hyperlink"/>
          </w:rPr>
          <w:t>www.protk.com</w:t>
        </w:r>
      </w:hyperlink>
      <w:r w:rsidR="00944ED6">
        <w:t xml:space="preserve"> for valuation services.</w:t>
      </w:r>
    </w:p>
    <w:p w:rsidR="00944ED6" w:rsidRDefault="00944ED6"/>
    <w:sectPr w:rsidR="00944E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579"/>
    <w:rsid w:val="00020A85"/>
    <w:rsid w:val="0002322C"/>
    <w:rsid w:val="00030BDF"/>
    <w:rsid w:val="00035A05"/>
    <w:rsid w:val="000442A4"/>
    <w:rsid w:val="0004504D"/>
    <w:rsid w:val="00046376"/>
    <w:rsid w:val="00072EF6"/>
    <w:rsid w:val="000901A5"/>
    <w:rsid w:val="00095B3F"/>
    <w:rsid w:val="000A1DF3"/>
    <w:rsid w:val="000B7A69"/>
    <w:rsid w:val="000E5159"/>
    <w:rsid w:val="000F7911"/>
    <w:rsid w:val="00100BCB"/>
    <w:rsid w:val="00101349"/>
    <w:rsid w:val="001106F2"/>
    <w:rsid w:val="00144B04"/>
    <w:rsid w:val="00146D46"/>
    <w:rsid w:val="001759C3"/>
    <w:rsid w:val="00206E68"/>
    <w:rsid w:val="00207E1F"/>
    <w:rsid w:val="002249E6"/>
    <w:rsid w:val="00235605"/>
    <w:rsid w:val="0024753C"/>
    <w:rsid w:val="00250DE7"/>
    <w:rsid w:val="00252BBF"/>
    <w:rsid w:val="00291EFD"/>
    <w:rsid w:val="002F45F5"/>
    <w:rsid w:val="00307454"/>
    <w:rsid w:val="00335F0A"/>
    <w:rsid w:val="00337203"/>
    <w:rsid w:val="00346EA0"/>
    <w:rsid w:val="003627CB"/>
    <w:rsid w:val="00364967"/>
    <w:rsid w:val="00373E9B"/>
    <w:rsid w:val="003768C4"/>
    <w:rsid w:val="0038186D"/>
    <w:rsid w:val="00383460"/>
    <w:rsid w:val="003B0FC1"/>
    <w:rsid w:val="003F4D33"/>
    <w:rsid w:val="00403454"/>
    <w:rsid w:val="0040371C"/>
    <w:rsid w:val="0040767D"/>
    <w:rsid w:val="00415318"/>
    <w:rsid w:val="0045259A"/>
    <w:rsid w:val="00461C69"/>
    <w:rsid w:val="00477A24"/>
    <w:rsid w:val="004A200C"/>
    <w:rsid w:val="004A7E3D"/>
    <w:rsid w:val="004D4D9E"/>
    <w:rsid w:val="00505D4E"/>
    <w:rsid w:val="005274E7"/>
    <w:rsid w:val="00543DD2"/>
    <w:rsid w:val="00584A20"/>
    <w:rsid w:val="00592AA3"/>
    <w:rsid w:val="005A1008"/>
    <w:rsid w:val="005B36CD"/>
    <w:rsid w:val="005E259C"/>
    <w:rsid w:val="0060372E"/>
    <w:rsid w:val="006147FD"/>
    <w:rsid w:val="00614891"/>
    <w:rsid w:val="00622B1A"/>
    <w:rsid w:val="006473D8"/>
    <w:rsid w:val="0065762D"/>
    <w:rsid w:val="006724E5"/>
    <w:rsid w:val="00686E2C"/>
    <w:rsid w:val="006A31C1"/>
    <w:rsid w:val="006A45F8"/>
    <w:rsid w:val="006A6D42"/>
    <w:rsid w:val="006B40B6"/>
    <w:rsid w:val="006B56DB"/>
    <w:rsid w:val="006C4D05"/>
    <w:rsid w:val="00713C72"/>
    <w:rsid w:val="007160C6"/>
    <w:rsid w:val="007268E4"/>
    <w:rsid w:val="0077063A"/>
    <w:rsid w:val="00770761"/>
    <w:rsid w:val="007B561E"/>
    <w:rsid w:val="007B5862"/>
    <w:rsid w:val="007C0F05"/>
    <w:rsid w:val="007C4B67"/>
    <w:rsid w:val="007D211A"/>
    <w:rsid w:val="007D2D42"/>
    <w:rsid w:val="007F3933"/>
    <w:rsid w:val="00802906"/>
    <w:rsid w:val="0080783D"/>
    <w:rsid w:val="00826609"/>
    <w:rsid w:val="00826D91"/>
    <w:rsid w:val="0083049E"/>
    <w:rsid w:val="00860562"/>
    <w:rsid w:val="008F1110"/>
    <w:rsid w:val="008F3D7F"/>
    <w:rsid w:val="00904A2F"/>
    <w:rsid w:val="00924CAC"/>
    <w:rsid w:val="0092761E"/>
    <w:rsid w:val="00930232"/>
    <w:rsid w:val="009326C2"/>
    <w:rsid w:val="00934A37"/>
    <w:rsid w:val="00940005"/>
    <w:rsid w:val="0094235B"/>
    <w:rsid w:val="00944ED6"/>
    <w:rsid w:val="00953FFF"/>
    <w:rsid w:val="00962C4E"/>
    <w:rsid w:val="0097743A"/>
    <w:rsid w:val="009D07EE"/>
    <w:rsid w:val="009E4DFF"/>
    <w:rsid w:val="009F42D2"/>
    <w:rsid w:val="00A16840"/>
    <w:rsid w:val="00A23EF4"/>
    <w:rsid w:val="00A275B0"/>
    <w:rsid w:val="00A376A4"/>
    <w:rsid w:val="00A43EBF"/>
    <w:rsid w:val="00A4786F"/>
    <w:rsid w:val="00A566ED"/>
    <w:rsid w:val="00A72A1D"/>
    <w:rsid w:val="00A86555"/>
    <w:rsid w:val="00A86F66"/>
    <w:rsid w:val="00A87C43"/>
    <w:rsid w:val="00AA1D19"/>
    <w:rsid w:val="00AA4593"/>
    <w:rsid w:val="00AA6BDC"/>
    <w:rsid w:val="00AB7D79"/>
    <w:rsid w:val="00AE3719"/>
    <w:rsid w:val="00B03F15"/>
    <w:rsid w:val="00B101B3"/>
    <w:rsid w:val="00B217D4"/>
    <w:rsid w:val="00B25BA5"/>
    <w:rsid w:val="00B31DD4"/>
    <w:rsid w:val="00B34372"/>
    <w:rsid w:val="00B41EFA"/>
    <w:rsid w:val="00B53069"/>
    <w:rsid w:val="00B5608B"/>
    <w:rsid w:val="00B56CFF"/>
    <w:rsid w:val="00BB0DF9"/>
    <w:rsid w:val="00BB2371"/>
    <w:rsid w:val="00BC5303"/>
    <w:rsid w:val="00BD4107"/>
    <w:rsid w:val="00BE1F61"/>
    <w:rsid w:val="00BF014E"/>
    <w:rsid w:val="00BF0303"/>
    <w:rsid w:val="00BF4F1C"/>
    <w:rsid w:val="00C11657"/>
    <w:rsid w:val="00C31D14"/>
    <w:rsid w:val="00C85F63"/>
    <w:rsid w:val="00C94908"/>
    <w:rsid w:val="00CB306B"/>
    <w:rsid w:val="00CC58D0"/>
    <w:rsid w:val="00CD16AF"/>
    <w:rsid w:val="00CF3372"/>
    <w:rsid w:val="00D0249B"/>
    <w:rsid w:val="00D14020"/>
    <w:rsid w:val="00D15740"/>
    <w:rsid w:val="00D179A4"/>
    <w:rsid w:val="00D17BF2"/>
    <w:rsid w:val="00D221BA"/>
    <w:rsid w:val="00D23248"/>
    <w:rsid w:val="00D33E37"/>
    <w:rsid w:val="00D5653E"/>
    <w:rsid w:val="00D82FD2"/>
    <w:rsid w:val="00D94978"/>
    <w:rsid w:val="00D95835"/>
    <w:rsid w:val="00DC04B6"/>
    <w:rsid w:val="00DF5BD4"/>
    <w:rsid w:val="00E02579"/>
    <w:rsid w:val="00E10E97"/>
    <w:rsid w:val="00E33EF6"/>
    <w:rsid w:val="00E35235"/>
    <w:rsid w:val="00E366B9"/>
    <w:rsid w:val="00E37F5A"/>
    <w:rsid w:val="00E41E8A"/>
    <w:rsid w:val="00E553F9"/>
    <w:rsid w:val="00E5597D"/>
    <w:rsid w:val="00E67822"/>
    <w:rsid w:val="00E70FFE"/>
    <w:rsid w:val="00E7353F"/>
    <w:rsid w:val="00E76548"/>
    <w:rsid w:val="00E815D8"/>
    <w:rsid w:val="00E85B36"/>
    <w:rsid w:val="00E85C3A"/>
    <w:rsid w:val="00EA5E0F"/>
    <w:rsid w:val="00EA6118"/>
    <w:rsid w:val="00EB6C96"/>
    <w:rsid w:val="00EC23FC"/>
    <w:rsid w:val="00ED4FB7"/>
    <w:rsid w:val="00EF0B33"/>
    <w:rsid w:val="00EF6178"/>
    <w:rsid w:val="00F53D50"/>
    <w:rsid w:val="00F66DB0"/>
    <w:rsid w:val="00F95840"/>
    <w:rsid w:val="00FB13CF"/>
    <w:rsid w:val="00FB3017"/>
    <w:rsid w:val="00FF4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52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5235"/>
    <w:rPr>
      <w:rFonts w:ascii="Tahoma" w:hAnsi="Tahoma" w:cs="Tahoma"/>
      <w:sz w:val="16"/>
      <w:szCs w:val="16"/>
    </w:rPr>
  </w:style>
  <w:style w:type="character" w:styleId="Hyperlink">
    <w:name w:val="Hyperlink"/>
    <w:basedOn w:val="DefaultParagraphFont"/>
    <w:uiPriority w:val="99"/>
    <w:unhideWhenUsed/>
    <w:rsid w:val="00543DD2"/>
    <w:rPr>
      <w:color w:val="0000FF" w:themeColor="hyperlink"/>
      <w:u w:val="single"/>
    </w:rPr>
  </w:style>
  <w:style w:type="character" w:styleId="FollowedHyperlink">
    <w:name w:val="FollowedHyperlink"/>
    <w:basedOn w:val="DefaultParagraphFont"/>
    <w:uiPriority w:val="99"/>
    <w:semiHidden/>
    <w:unhideWhenUsed/>
    <w:rsid w:val="00944ED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52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5235"/>
    <w:rPr>
      <w:rFonts w:ascii="Tahoma" w:hAnsi="Tahoma" w:cs="Tahoma"/>
      <w:sz w:val="16"/>
      <w:szCs w:val="16"/>
    </w:rPr>
  </w:style>
  <w:style w:type="character" w:styleId="Hyperlink">
    <w:name w:val="Hyperlink"/>
    <w:basedOn w:val="DefaultParagraphFont"/>
    <w:uiPriority w:val="99"/>
    <w:unhideWhenUsed/>
    <w:rsid w:val="00543DD2"/>
    <w:rPr>
      <w:color w:val="0000FF" w:themeColor="hyperlink"/>
      <w:u w:val="single"/>
    </w:rPr>
  </w:style>
  <w:style w:type="character" w:styleId="FollowedHyperlink">
    <w:name w:val="FollowedHyperlink"/>
    <w:basedOn w:val="DefaultParagraphFont"/>
    <w:uiPriority w:val="99"/>
    <w:semiHidden/>
    <w:unhideWhenUsed/>
    <w:rsid w:val="00944E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3052">
      <w:bodyDiv w:val="1"/>
      <w:marLeft w:val="0"/>
      <w:marRight w:val="0"/>
      <w:marTop w:val="0"/>
      <w:marBottom w:val="0"/>
      <w:divBdr>
        <w:top w:val="none" w:sz="0" w:space="0" w:color="auto"/>
        <w:left w:val="none" w:sz="0" w:space="0" w:color="auto"/>
        <w:bottom w:val="none" w:sz="0" w:space="0" w:color="auto"/>
        <w:right w:val="none" w:sz="0" w:space="0" w:color="auto"/>
      </w:divBdr>
    </w:div>
    <w:div w:id="1363477792">
      <w:bodyDiv w:val="1"/>
      <w:marLeft w:val="0"/>
      <w:marRight w:val="0"/>
      <w:marTop w:val="0"/>
      <w:marBottom w:val="0"/>
      <w:divBdr>
        <w:top w:val="none" w:sz="0" w:space="0" w:color="auto"/>
        <w:left w:val="none" w:sz="0" w:space="0" w:color="auto"/>
        <w:bottom w:val="none" w:sz="0" w:space="0" w:color="auto"/>
        <w:right w:val="none" w:sz="0" w:space="0" w:color="auto"/>
      </w:divBdr>
    </w:div>
    <w:div w:id="1952202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www.protk.com"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collateralanalytics.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chart" Target="charts/chart1.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Los Angeles County Single Family Price Per Living for Different Price</a:t>
            </a:r>
            <a:r>
              <a:rPr lang="en-US" baseline="0"/>
              <a:t>d Markets</a:t>
            </a:r>
            <a:endParaRPr lang="en-US"/>
          </a:p>
        </c:rich>
      </c:tx>
      <c:overlay val="0"/>
    </c:title>
    <c:autoTitleDeleted val="0"/>
    <c:plotArea>
      <c:layout>
        <c:manualLayout>
          <c:layoutTarget val="inner"/>
          <c:xMode val="edge"/>
          <c:yMode val="edge"/>
          <c:x val="0.124498231933227"/>
          <c:y val="0.13867336544779837"/>
          <c:w val="0.80192048341224231"/>
          <c:h val="0.75563803885673597"/>
        </c:manualLayout>
      </c:layout>
      <c:lineChart>
        <c:grouping val="standard"/>
        <c:varyColors val="0"/>
        <c:ser>
          <c:idx val="0"/>
          <c:order val="0"/>
          <c:tx>
            <c:strRef>
              <c:f>Sheet1!$D$1</c:f>
              <c:strCache>
                <c:ptCount val="1"/>
                <c:pt idx="0">
                  <c:v>Manhattan Beach Price/Living</c:v>
                </c:pt>
              </c:strCache>
            </c:strRef>
          </c:tx>
          <c:marker>
            <c:symbol val="none"/>
          </c:marker>
          <c:cat>
            <c:strRef>
              <c:f>Sheet1!$B$2:$B$174</c:f>
              <c:strCache>
                <c:ptCount val="173"/>
                <c:pt idx="0">
                  <c:v>1970</c:v>
                </c:pt>
                <c:pt idx="1">
                  <c:v>1970</c:v>
                </c:pt>
                <c:pt idx="2">
                  <c:v>1970</c:v>
                </c:pt>
                <c:pt idx="3">
                  <c:v>1970</c:v>
                </c:pt>
                <c:pt idx="4">
                  <c:v>1971</c:v>
                </c:pt>
                <c:pt idx="5">
                  <c:v>1971</c:v>
                </c:pt>
                <c:pt idx="6">
                  <c:v>1971</c:v>
                </c:pt>
                <c:pt idx="7">
                  <c:v>1971</c:v>
                </c:pt>
                <c:pt idx="8">
                  <c:v>1972</c:v>
                </c:pt>
                <c:pt idx="9">
                  <c:v>1972</c:v>
                </c:pt>
                <c:pt idx="10">
                  <c:v>1972</c:v>
                </c:pt>
                <c:pt idx="11">
                  <c:v>1972</c:v>
                </c:pt>
                <c:pt idx="12">
                  <c:v>1973</c:v>
                </c:pt>
                <c:pt idx="13">
                  <c:v>1973</c:v>
                </c:pt>
                <c:pt idx="14">
                  <c:v>1973</c:v>
                </c:pt>
                <c:pt idx="15">
                  <c:v>1973</c:v>
                </c:pt>
                <c:pt idx="16">
                  <c:v>1974</c:v>
                </c:pt>
                <c:pt idx="17">
                  <c:v>1974</c:v>
                </c:pt>
                <c:pt idx="18">
                  <c:v>1974</c:v>
                </c:pt>
                <c:pt idx="19">
                  <c:v>1974</c:v>
                </c:pt>
                <c:pt idx="20">
                  <c:v>1975</c:v>
                </c:pt>
                <c:pt idx="21">
                  <c:v>1975</c:v>
                </c:pt>
                <c:pt idx="22">
                  <c:v>1975</c:v>
                </c:pt>
                <c:pt idx="23">
                  <c:v>1975</c:v>
                </c:pt>
                <c:pt idx="24">
                  <c:v>1976</c:v>
                </c:pt>
                <c:pt idx="25">
                  <c:v>1976</c:v>
                </c:pt>
                <c:pt idx="26">
                  <c:v>1976</c:v>
                </c:pt>
                <c:pt idx="27">
                  <c:v>1976</c:v>
                </c:pt>
                <c:pt idx="28">
                  <c:v>1977</c:v>
                </c:pt>
                <c:pt idx="29">
                  <c:v>1977</c:v>
                </c:pt>
                <c:pt idx="30">
                  <c:v>1977</c:v>
                </c:pt>
                <c:pt idx="31">
                  <c:v>1977</c:v>
                </c:pt>
                <c:pt idx="32">
                  <c:v>1978</c:v>
                </c:pt>
                <c:pt idx="33">
                  <c:v>1978</c:v>
                </c:pt>
                <c:pt idx="34">
                  <c:v>1978</c:v>
                </c:pt>
                <c:pt idx="35">
                  <c:v>1978</c:v>
                </c:pt>
                <c:pt idx="36">
                  <c:v>1979</c:v>
                </c:pt>
                <c:pt idx="37">
                  <c:v>1979</c:v>
                </c:pt>
                <c:pt idx="38">
                  <c:v>1979</c:v>
                </c:pt>
                <c:pt idx="39">
                  <c:v>1979</c:v>
                </c:pt>
                <c:pt idx="40">
                  <c:v>1980</c:v>
                </c:pt>
                <c:pt idx="41">
                  <c:v>1980</c:v>
                </c:pt>
                <c:pt idx="42">
                  <c:v>1980</c:v>
                </c:pt>
                <c:pt idx="43">
                  <c:v>1980</c:v>
                </c:pt>
                <c:pt idx="44">
                  <c:v>1981</c:v>
                </c:pt>
                <c:pt idx="45">
                  <c:v>1981</c:v>
                </c:pt>
                <c:pt idx="46">
                  <c:v>1981</c:v>
                </c:pt>
                <c:pt idx="47">
                  <c:v>1981</c:v>
                </c:pt>
                <c:pt idx="48">
                  <c:v>1982</c:v>
                </c:pt>
                <c:pt idx="49">
                  <c:v>1982</c:v>
                </c:pt>
                <c:pt idx="50">
                  <c:v>1982</c:v>
                </c:pt>
                <c:pt idx="51">
                  <c:v>1982</c:v>
                </c:pt>
                <c:pt idx="52">
                  <c:v>1983</c:v>
                </c:pt>
                <c:pt idx="53">
                  <c:v>1983</c:v>
                </c:pt>
                <c:pt idx="54">
                  <c:v>1983</c:v>
                </c:pt>
                <c:pt idx="55">
                  <c:v>1983</c:v>
                </c:pt>
                <c:pt idx="56">
                  <c:v>1984</c:v>
                </c:pt>
                <c:pt idx="57">
                  <c:v>1984</c:v>
                </c:pt>
                <c:pt idx="58">
                  <c:v>1984</c:v>
                </c:pt>
                <c:pt idx="59">
                  <c:v>1984</c:v>
                </c:pt>
                <c:pt idx="60">
                  <c:v>1985</c:v>
                </c:pt>
                <c:pt idx="61">
                  <c:v>1985</c:v>
                </c:pt>
                <c:pt idx="62">
                  <c:v>1985</c:v>
                </c:pt>
                <c:pt idx="63">
                  <c:v>1985</c:v>
                </c:pt>
                <c:pt idx="64">
                  <c:v>1986</c:v>
                </c:pt>
                <c:pt idx="65">
                  <c:v>1986</c:v>
                </c:pt>
                <c:pt idx="66">
                  <c:v>1986</c:v>
                </c:pt>
                <c:pt idx="67">
                  <c:v>1986</c:v>
                </c:pt>
                <c:pt idx="68">
                  <c:v>1987</c:v>
                </c:pt>
                <c:pt idx="69">
                  <c:v>1987</c:v>
                </c:pt>
                <c:pt idx="70">
                  <c:v>1987</c:v>
                </c:pt>
                <c:pt idx="71">
                  <c:v>1987</c:v>
                </c:pt>
                <c:pt idx="72">
                  <c:v>1988</c:v>
                </c:pt>
                <c:pt idx="73">
                  <c:v>1988</c:v>
                </c:pt>
                <c:pt idx="74">
                  <c:v>1988</c:v>
                </c:pt>
                <c:pt idx="75">
                  <c:v>1988</c:v>
                </c:pt>
                <c:pt idx="76">
                  <c:v>1989</c:v>
                </c:pt>
                <c:pt idx="77">
                  <c:v>1989</c:v>
                </c:pt>
                <c:pt idx="78">
                  <c:v>1989</c:v>
                </c:pt>
                <c:pt idx="79">
                  <c:v>1989</c:v>
                </c:pt>
                <c:pt idx="80">
                  <c:v>1990</c:v>
                </c:pt>
                <c:pt idx="81">
                  <c:v>1990</c:v>
                </c:pt>
                <c:pt idx="82">
                  <c:v>1990</c:v>
                </c:pt>
                <c:pt idx="83">
                  <c:v>1990</c:v>
                </c:pt>
                <c:pt idx="84">
                  <c:v>1991</c:v>
                </c:pt>
                <c:pt idx="85">
                  <c:v>1991</c:v>
                </c:pt>
                <c:pt idx="86">
                  <c:v>1991</c:v>
                </c:pt>
                <c:pt idx="87">
                  <c:v>1991</c:v>
                </c:pt>
                <c:pt idx="88">
                  <c:v>1992</c:v>
                </c:pt>
                <c:pt idx="89">
                  <c:v>1992</c:v>
                </c:pt>
                <c:pt idx="90">
                  <c:v>1992</c:v>
                </c:pt>
                <c:pt idx="91">
                  <c:v>1992</c:v>
                </c:pt>
                <c:pt idx="92">
                  <c:v>1993</c:v>
                </c:pt>
                <c:pt idx="93">
                  <c:v>1993</c:v>
                </c:pt>
                <c:pt idx="94">
                  <c:v>1993</c:v>
                </c:pt>
                <c:pt idx="95">
                  <c:v>1993</c:v>
                </c:pt>
                <c:pt idx="96">
                  <c:v>1994</c:v>
                </c:pt>
                <c:pt idx="97">
                  <c:v>1994</c:v>
                </c:pt>
                <c:pt idx="98">
                  <c:v>1994</c:v>
                </c:pt>
                <c:pt idx="99">
                  <c:v>1994</c:v>
                </c:pt>
                <c:pt idx="100">
                  <c:v>1995</c:v>
                </c:pt>
                <c:pt idx="101">
                  <c:v>1995</c:v>
                </c:pt>
                <c:pt idx="102">
                  <c:v>1995</c:v>
                </c:pt>
                <c:pt idx="103">
                  <c:v>1995</c:v>
                </c:pt>
                <c:pt idx="104">
                  <c:v>1996</c:v>
                </c:pt>
                <c:pt idx="105">
                  <c:v>1996</c:v>
                </c:pt>
                <c:pt idx="106">
                  <c:v>1996</c:v>
                </c:pt>
                <c:pt idx="107">
                  <c:v>1996</c:v>
                </c:pt>
                <c:pt idx="108">
                  <c:v>1997</c:v>
                </c:pt>
                <c:pt idx="109">
                  <c:v>1997</c:v>
                </c:pt>
                <c:pt idx="110">
                  <c:v>1997</c:v>
                </c:pt>
                <c:pt idx="111">
                  <c:v>1997</c:v>
                </c:pt>
                <c:pt idx="112">
                  <c:v>1998</c:v>
                </c:pt>
                <c:pt idx="113">
                  <c:v>1998</c:v>
                </c:pt>
                <c:pt idx="114">
                  <c:v>1998</c:v>
                </c:pt>
                <c:pt idx="115">
                  <c:v>1998</c:v>
                </c:pt>
                <c:pt idx="116">
                  <c:v>1999</c:v>
                </c:pt>
                <c:pt idx="117">
                  <c:v>1999</c:v>
                </c:pt>
                <c:pt idx="118">
                  <c:v>1999</c:v>
                </c:pt>
                <c:pt idx="119">
                  <c:v>1999</c:v>
                </c:pt>
                <c:pt idx="120">
                  <c:v>2000</c:v>
                </c:pt>
                <c:pt idx="121">
                  <c:v>2000</c:v>
                </c:pt>
                <c:pt idx="122">
                  <c:v>2000</c:v>
                </c:pt>
                <c:pt idx="123">
                  <c:v>2000</c:v>
                </c:pt>
                <c:pt idx="124">
                  <c:v>2001</c:v>
                </c:pt>
                <c:pt idx="125">
                  <c:v>2001</c:v>
                </c:pt>
                <c:pt idx="126">
                  <c:v>2001</c:v>
                </c:pt>
                <c:pt idx="127">
                  <c:v>2001</c:v>
                </c:pt>
                <c:pt idx="128">
                  <c:v>2002</c:v>
                </c:pt>
                <c:pt idx="129">
                  <c:v>2002</c:v>
                </c:pt>
                <c:pt idx="130">
                  <c:v>2002</c:v>
                </c:pt>
                <c:pt idx="131">
                  <c:v>2002</c:v>
                </c:pt>
                <c:pt idx="132">
                  <c:v>2003</c:v>
                </c:pt>
                <c:pt idx="133">
                  <c:v>2003</c:v>
                </c:pt>
                <c:pt idx="134">
                  <c:v>2003</c:v>
                </c:pt>
                <c:pt idx="135">
                  <c:v>2003</c:v>
                </c:pt>
                <c:pt idx="136">
                  <c:v>2004</c:v>
                </c:pt>
                <c:pt idx="137">
                  <c:v>2004</c:v>
                </c:pt>
                <c:pt idx="138">
                  <c:v>2004</c:v>
                </c:pt>
                <c:pt idx="139">
                  <c:v>2004</c:v>
                </c:pt>
                <c:pt idx="140">
                  <c:v>2005</c:v>
                </c:pt>
                <c:pt idx="141">
                  <c:v>2005</c:v>
                </c:pt>
                <c:pt idx="142">
                  <c:v>2005</c:v>
                </c:pt>
                <c:pt idx="143">
                  <c:v>2005</c:v>
                </c:pt>
                <c:pt idx="144">
                  <c:v>2006</c:v>
                </c:pt>
                <c:pt idx="145">
                  <c:v>2006</c:v>
                </c:pt>
                <c:pt idx="146">
                  <c:v>2006</c:v>
                </c:pt>
                <c:pt idx="147">
                  <c:v>2006</c:v>
                </c:pt>
                <c:pt idx="148">
                  <c:v>2007</c:v>
                </c:pt>
                <c:pt idx="149">
                  <c:v>2007</c:v>
                </c:pt>
                <c:pt idx="150">
                  <c:v>2007</c:v>
                </c:pt>
                <c:pt idx="151">
                  <c:v>2007</c:v>
                </c:pt>
                <c:pt idx="152">
                  <c:v>2008</c:v>
                </c:pt>
                <c:pt idx="153">
                  <c:v>2008</c:v>
                </c:pt>
                <c:pt idx="154">
                  <c:v>2008</c:v>
                </c:pt>
                <c:pt idx="155">
                  <c:v>2008</c:v>
                </c:pt>
                <c:pt idx="156">
                  <c:v>2009</c:v>
                </c:pt>
                <c:pt idx="157">
                  <c:v>2009</c:v>
                </c:pt>
                <c:pt idx="158">
                  <c:v>2009</c:v>
                </c:pt>
                <c:pt idx="159">
                  <c:v>2009</c:v>
                </c:pt>
                <c:pt idx="160">
                  <c:v>2010</c:v>
                </c:pt>
                <c:pt idx="161">
                  <c:v>2010</c:v>
                </c:pt>
                <c:pt idx="162">
                  <c:v>2010</c:v>
                </c:pt>
                <c:pt idx="163">
                  <c:v>2010</c:v>
                </c:pt>
                <c:pt idx="164">
                  <c:v>2011</c:v>
                </c:pt>
                <c:pt idx="165">
                  <c:v>2011</c:v>
                </c:pt>
                <c:pt idx="166">
                  <c:v>2011</c:v>
                </c:pt>
                <c:pt idx="167">
                  <c:v>2011</c:v>
                </c:pt>
                <c:pt idx="168">
                  <c:v>2012</c:v>
                </c:pt>
                <c:pt idx="169">
                  <c:v>2012</c:v>
                </c:pt>
                <c:pt idx="170">
                  <c:v>2012</c:v>
                </c:pt>
                <c:pt idx="171">
                  <c:v>2012</c:v>
                </c:pt>
                <c:pt idx="172">
                  <c:v>2013</c:v>
                </c:pt>
              </c:strCache>
            </c:strRef>
          </c:cat>
          <c:val>
            <c:numRef>
              <c:f>Sheet1!$D$2:$D$174</c:f>
              <c:numCache>
                <c:formatCode>General</c:formatCode>
                <c:ptCount val="173"/>
                <c:pt idx="0">
                  <c:v>15</c:v>
                </c:pt>
                <c:pt idx="1">
                  <c:v>15</c:v>
                </c:pt>
                <c:pt idx="2">
                  <c:v>16</c:v>
                </c:pt>
                <c:pt idx="3">
                  <c:v>16</c:v>
                </c:pt>
                <c:pt idx="4">
                  <c:v>17</c:v>
                </c:pt>
                <c:pt idx="5">
                  <c:v>18</c:v>
                </c:pt>
                <c:pt idx="6">
                  <c:v>18</c:v>
                </c:pt>
                <c:pt idx="7">
                  <c:v>19</c:v>
                </c:pt>
                <c:pt idx="8">
                  <c:v>20</c:v>
                </c:pt>
                <c:pt idx="9">
                  <c:v>21</c:v>
                </c:pt>
                <c:pt idx="10">
                  <c:v>21</c:v>
                </c:pt>
                <c:pt idx="11">
                  <c:v>22</c:v>
                </c:pt>
                <c:pt idx="12">
                  <c:v>23</c:v>
                </c:pt>
                <c:pt idx="13">
                  <c:v>23</c:v>
                </c:pt>
                <c:pt idx="14">
                  <c:v>23</c:v>
                </c:pt>
                <c:pt idx="15">
                  <c:v>24</c:v>
                </c:pt>
                <c:pt idx="16">
                  <c:v>25</c:v>
                </c:pt>
                <c:pt idx="17">
                  <c:v>26</c:v>
                </c:pt>
                <c:pt idx="18">
                  <c:v>27</c:v>
                </c:pt>
                <c:pt idx="19">
                  <c:v>28</c:v>
                </c:pt>
                <c:pt idx="20">
                  <c:v>30</c:v>
                </c:pt>
                <c:pt idx="21">
                  <c:v>32</c:v>
                </c:pt>
                <c:pt idx="22">
                  <c:v>34</c:v>
                </c:pt>
                <c:pt idx="23">
                  <c:v>37</c:v>
                </c:pt>
                <c:pt idx="24">
                  <c:v>40</c:v>
                </c:pt>
                <c:pt idx="25">
                  <c:v>43</c:v>
                </c:pt>
                <c:pt idx="26">
                  <c:v>47</c:v>
                </c:pt>
                <c:pt idx="27">
                  <c:v>50</c:v>
                </c:pt>
                <c:pt idx="28">
                  <c:v>54</c:v>
                </c:pt>
                <c:pt idx="29">
                  <c:v>57</c:v>
                </c:pt>
                <c:pt idx="30">
                  <c:v>60</c:v>
                </c:pt>
                <c:pt idx="31">
                  <c:v>62</c:v>
                </c:pt>
                <c:pt idx="32">
                  <c:v>64</c:v>
                </c:pt>
                <c:pt idx="33">
                  <c:v>66</c:v>
                </c:pt>
                <c:pt idx="34">
                  <c:v>68</c:v>
                </c:pt>
                <c:pt idx="35">
                  <c:v>69</c:v>
                </c:pt>
                <c:pt idx="36">
                  <c:v>71</c:v>
                </c:pt>
                <c:pt idx="37">
                  <c:v>72</c:v>
                </c:pt>
                <c:pt idx="38">
                  <c:v>73</c:v>
                </c:pt>
                <c:pt idx="39">
                  <c:v>74</c:v>
                </c:pt>
                <c:pt idx="40">
                  <c:v>76</c:v>
                </c:pt>
                <c:pt idx="41">
                  <c:v>78</c:v>
                </c:pt>
                <c:pt idx="42">
                  <c:v>80</c:v>
                </c:pt>
                <c:pt idx="43">
                  <c:v>82</c:v>
                </c:pt>
                <c:pt idx="44">
                  <c:v>84</c:v>
                </c:pt>
                <c:pt idx="45">
                  <c:v>87</c:v>
                </c:pt>
                <c:pt idx="46">
                  <c:v>89</c:v>
                </c:pt>
                <c:pt idx="47">
                  <c:v>92</c:v>
                </c:pt>
                <c:pt idx="48">
                  <c:v>95</c:v>
                </c:pt>
                <c:pt idx="49">
                  <c:v>98</c:v>
                </c:pt>
                <c:pt idx="50">
                  <c:v>101</c:v>
                </c:pt>
                <c:pt idx="51">
                  <c:v>104</c:v>
                </c:pt>
                <c:pt idx="52">
                  <c:v>106</c:v>
                </c:pt>
                <c:pt idx="53">
                  <c:v>108</c:v>
                </c:pt>
                <c:pt idx="54">
                  <c:v>110</c:v>
                </c:pt>
                <c:pt idx="55">
                  <c:v>111</c:v>
                </c:pt>
                <c:pt idx="56">
                  <c:v>113</c:v>
                </c:pt>
                <c:pt idx="57">
                  <c:v>116</c:v>
                </c:pt>
                <c:pt idx="58">
                  <c:v>119</c:v>
                </c:pt>
                <c:pt idx="59">
                  <c:v>123</c:v>
                </c:pt>
                <c:pt idx="60">
                  <c:v>127</c:v>
                </c:pt>
                <c:pt idx="61">
                  <c:v>131</c:v>
                </c:pt>
                <c:pt idx="62">
                  <c:v>136</c:v>
                </c:pt>
                <c:pt idx="63">
                  <c:v>141</c:v>
                </c:pt>
                <c:pt idx="64">
                  <c:v>146</c:v>
                </c:pt>
                <c:pt idx="65">
                  <c:v>151</c:v>
                </c:pt>
                <c:pt idx="66">
                  <c:v>157</c:v>
                </c:pt>
                <c:pt idx="67">
                  <c:v>163</c:v>
                </c:pt>
                <c:pt idx="68">
                  <c:v>169</c:v>
                </c:pt>
                <c:pt idx="69">
                  <c:v>176</c:v>
                </c:pt>
                <c:pt idx="70">
                  <c:v>183</c:v>
                </c:pt>
                <c:pt idx="71">
                  <c:v>190</c:v>
                </c:pt>
                <c:pt idx="72">
                  <c:v>197</c:v>
                </c:pt>
                <c:pt idx="73">
                  <c:v>204</c:v>
                </c:pt>
                <c:pt idx="74">
                  <c:v>211</c:v>
                </c:pt>
                <c:pt idx="75">
                  <c:v>217</c:v>
                </c:pt>
                <c:pt idx="76">
                  <c:v>223</c:v>
                </c:pt>
                <c:pt idx="77">
                  <c:v>227</c:v>
                </c:pt>
                <c:pt idx="78">
                  <c:v>230</c:v>
                </c:pt>
                <c:pt idx="79">
                  <c:v>232</c:v>
                </c:pt>
                <c:pt idx="80">
                  <c:v>233</c:v>
                </c:pt>
                <c:pt idx="81">
                  <c:v>233</c:v>
                </c:pt>
                <c:pt idx="82">
                  <c:v>233</c:v>
                </c:pt>
                <c:pt idx="83">
                  <c:v>232</c:v>
                </c:pt>
                <c:pt idx="84">
                  <c:v>231</c:v>
                </c:pt>
                <c:pt idx="85">
                  <c:v>229</c:v>
                </c:pt>
                <c:pt idx="86">
                  <c:v>226</c:v>
                </c:pt>
                <c:pt idx="87">
                  <c:v>223</c:v>
                </c:pt>
                <c:pt idx="88">
                  <c:v>220</c:v>
                </c:pt>
                <c:pt idx="89">
                  <c:v>216</c:v>
                </c:pt>
                <c:pt idx="90">
                  <c:v>213</c:v>
                </c:pt>
                <c:pt idx="91">
                  <c:v>209</c:v>
                </c:pt>
                <c:pt idx="92">
                  <c:v>206</c:v>
                </c:pt>
                <c:pt idx="93">
                  <c:v>203</c:v>
                </c:pt>
                <c:pt idx="94">
                  <c:v>201</c:v>
                </c:pt>
                <c:pt idx="95">
                  <c:v>200</c:v>
                </c:pt>
                <c:pt idx="96">
                  <c:v>200</c:v>
                </c:pt>
                <c:pt idx="97">
                  <c:v>200</c:v>
                </c:pt>
                <c:pt idx="98">
                  <c:v>201</c:v>
                </c:pt>
                <c:pt idx="99">
                  <c:v>202</c:v>
                </c:pt>
                <c:pt idx="100">
                  <c:v>203</c:v>
                </c:pt>
                <c:pt idx="101">
                  <c:v>205</c:v>
                </c:pt>
                <c:pt idx="102">
                  <c:v>207</c:v>
                </c:pt>
                <c:pt idx="103">
                  <c:v>209</c:v>
                </c:pt>
                <c:pt idx="104">
                  <c:v>213</c:v>
                </c:pt>
                <c:pt idx="105">
                  <c:v>217</c:v>
                </c:pt>
                <c:pt idx="106">
                  <c:v>223</c:v>
                </c:pt>
                <c:pt idx="107">
                  <c:v>229</c:v>
                </c:pt>
                <c:pt idx="108">
                  <c:v>236</c:v>
                </c:pt>
                <c:pt idx="109">
                  <c:v>243</c:v>
                </c:pt>
                <c:pt idx="110">
                  <c:v>251</c:v>
                </c:pt>
                <c:pt idx="111">
                  <c:v>259</c:v>
                </c:pt>
                <c:pt idx="112">
                  <c:v>267</c:v>
                </c:pt>
                <c:pt idx="113">
                  <c:v>275</c:v>
                </c:pt>
                <c:pt idx="114">
                  <c:v>282</c:v>
                </c:pt>
                <c:pt idx="115">
                  <c:v>290</c:v>
                </c:pt>
                <c:pt idx="116">
                  <c:v>298</c:v>
                </c:pt>
                <c:pt idx="117">
                  <c:v>306</c:v>
                </c:pt>
                <c:pt idx="118">
                  <c:v>314</c:v>
                </c:pt>
                <c:pt idx="119">
                  <c:v>323</c:v>
                </c:pt>
                <c:pt idx="120">
                  <c:v>331</c:v>
                </c:pt>
                <c:pt idx="121">
                  <c:v>339</c:v>
                </c:pt>
                <c:pt idx="122">
                  <c:v>346</c:v>
                </c:pt>
                <c:pt idx="123">
                  <c:v>353</c:v>
                </c:pt>
                <c:pt idx="124">
                  <c:v>360</c:v>
                </c:pt>
                <c:pt idx="125">
                  <c:v>366</c:v>
                </c:pt>
                <c:pt idx="126">
                  <c:v>372</c:v>
                </c:pt>
                <c:pt idx="127">
                  <c:v>380</c:v>
                </c:pt>
                <c:pt idx="128">
                  <c:v>388</c:v>
                </c:pt>
                <c:pt idx="129">
                  <c:v>399</c:v>
                </c:pt>
                <c:pt idx="130">
                  <c:v>411</c:v>
                </c:pt>
                <c:pt idx="131">
                  <c:v>426</c:v>
                </c:pt>
                <c:pt idx="132">
                  <c:v>444</c:v>
                </c:pt>
                <c:pt idx="133">
                  <c:v>465</c:v>
                </c:pt>
                <c:pt idx="134">
                  <c:v>489</c:v>
                </c:pt>
                <c:pt idx="135">
                  <c:v>515</c:v>
                </c:pt>
                <c:pt idx="136">
                  <c:v>543</c:v>
                </c:pt>
                <c:pt idx="137">
                  <c:v>571</c:v>
                </c:pt>
                <c:pt idx="138">
                  <c:v>599</c:v>
                </c:pt>
                <c:pt idx="139">
                  <c:v>626</c:v>
                </c:pt>
                <c:pt idx="140">
                  <c:v>650</c:v>
                </c:pt>
                <c:pt idx="141">
                  <c:v>672</c:v>
                </c:pt>
                <c:pt idx="142">
                  <c:v>690</c:v>
                </c:pt>
                <c:pt idx="143">
                  <c:v>706</c:v>
                </c:pt>
                <c:pt idx="144">
                  <c:v>718</c:v>
                </c:pt>
                <c:pt idx="145">
                  <c:v>727</c:v>
                </c:pt>
                <c:pt idx="146">
                  <c:v>733</c:v>
                </c:pt>
                <c:pt idx="147">
                  <c:v>736</c:v>
                </c:pt>
                <c:pt idx="148">
                  <c:v>737</c:v>
                </c:pt>
                <c:pt idx="149">
                  <c:v>735</c:v>
                </c:pt>
                <c:pt idx="150">
                  <c:v>732</c:v>
                </c:pt>
                <c:pt idx="151">
                  <c:v>726</c:v>
                </c:pt>
                <c:pt idx="152">
                  <c:v>718</c:v>
                </c:pt>
                <c:pt idx="153">
                  <c:v>710</c:v>
                </c:pt>
                <c:pt idx="154">
                  <c:v>701</c:v>
                </c:pt>
                <c:pt idx="155">
                  <c:v>692</c:v>
                </c:pt>
                <c:pt idx="156">
                  <c:v>683</c:v>
                </c:pt>
                <c:pt idx="157">
                  <c:v>675</c:v>
                </c:pt>
                <c:pt idx="158">
                  <c:v>669</c:v>
                </c:pt>
                <c:pt idx="159">
                  <c:v>666</c:v>
                </c:pt>
                <c:pt idx="160">
                  <c:v>665</c:v>
                </c:pt>
                <c:pt idx="161">
                  <c:v>665</c:v>
                </c:pt>
                <c:pt idx="162">
                  <c:v>668</c:v>
                </c:pt>
                <c:pt idx="163">
                  <c:v>673</c:v>
                </c:pt>
                <c:pt idx="164">
                  <c:v>680</c:v>
                </c:pt>
                <c:pt idx="165">
                  <c:v>689</c:v>
                </c:pt>
                <c:pt idx="166">
                  <c:v>701</c:v>
                </c:pt>
                <c:pt idx="167">
                  <c:v>716</c:v>
                </c:pt>
                <c:pt idx="168">
                  <c:v>733</c:v>
                </c:pt>
                <c:pt idx="169">
                  <c:v>752</c:v>
                </c:pt>
                <c:pt idx="170">
                  <c:v>773</c:v>
                </c:pt>
                <c:pt idx="171">
                  <c:v>794</c:v>
                </c:pt>
                <c:pt idx="172">
                  <c:v>815</c:v>
                </c:pt>
              </c:numCache>
            </c:numRef>
          </c:val>
          <c:smooth val="0"/>
        </c:ser>
        <c:ser>
          <c:idx val="1"/>
          <c:order val="1"/>
          <c:tx>
            <c:strRef>
              <c:f>Sheet1!$H$1</c:f>
              <c:strCache>
                <c:ptCount val="1"/>
                <c:pt idx="0">
                  <c:v>Lancaster Price/Living</c:v>
                </c:pt>
              </c:strCache>
            </c:strRef>
          </c:tx>
          <c:marker>
            <c:symbol val="none"/>
          </c:marker>
          <c:cat>
            <c:strRef>
              <c:f>Sheet1!$B$2:$B$174</c:f>
              <c:strCache>
                <c:ptCount val="173"/>
                <c:pt idx="0">
                  <c:v>1970</c:v>
                </c:pt>
                <c:pt idx="1">
                  <c:v>1970</c:v>
                </c:pt>
                <c:pt idx="2">
                  <c:v>1970</c:v>
                </c:pt>
                <c:pt idx="3">
                  <c:v>1970</c:v>
                </c:pt>
                <c:pt idx="4">
                  <c:v>1971</c:v>
                </c:pt>
                <c:pt idx="5">
                  <c:v>1971</c:v>
                </c:pt>
                <c:pt idx="6">
                  <c:v>1971</c:v>
                </c:pt>
                <c:pt idx="7">
                  <c:v>1971</c:v>
                </c:pt>
                <c:pt idx="8">
                  <c:v>1972</c:v>
                </c:pt>
                <c:pt idx="9">
                  <c:v>1972</c:v>
                </c:pt>
                <c:pt idx="10">
                  <c:v>1972</c:v>
                </c:pt>
                <c:pt idx="11">
                  <c:v>1972</c:v>
                </c:pt>
                <c:pt idx="12">
                  <c:v>1973</c:v>
                </c:pt>
                <c:pt idx="13">
                  <c:v>1973</c:v>
                </c:pt>
                <c:pt idx="14">
                  <c:v>1973</c:v>
                </c:pt>
                <c:pt idx="15">
                  <c:v>1973</c:v>
                </c:pt>
                <c:pt idx="16">
                  <c:v>1974</c:v>
                </c:pt>
                <c:pt idx="17">
                  <c:v>1974</c:v>
                </c:pt>
                <c:pt idx="18">
                  <c:v>1974</c:v>
                </c:pt>
                <c:pt idx="19">
                  <c:v>1974</c:v>
                </c:pt>
                <c:pt idx="20">
                  <c:v>1975</c:v>
                </c:pt>
                <c:pt idx="21">
                  <c:v>1975</c:v>
                </c:pt>
                <c:pt idx="22">
                  <c:v>1975</c:v>
                </c:pt>
                <c:pt idx="23">
                  <c:v>1975</c:v>
                </c:pt>
                <c:pt idx="24">
                  <c:v>1976</c:v>
                </c:pt>
                <c:pt idx="25">
                  <c:v>1976</c:v>
                </c:pt>
                <c:pt idx="26">
                  <c:v>1976</c:v>
                </c:pt>
                <c:pt idx="27">
                  <c:v>1976</c:v>
                </c:pt>
                <c:pt idx="28">
                  <c:v>1977</c:v>
                </c:pt>
                <c:pt idx="29">
                  <c:v>1977</c:v>
                </c:pt>
                <c:pt idx="30">
                  <c:v>1977</c:v>
                </c:pt>
                <c:pt idx="31">
                  <c:v>1977</c:v>
                </c:pt>
                <c:pt idx="32">
                  <c:v>1978</c:v>
                </c:pt>
                <c:pt idx="33">
                  <c:v>1978</c:v>
                </c:pt>
                <c:pt idx="34">
                  <c:v>1978</c:v>
                </c:pt>
                <c:pt idx="35">
                  <c:v>1978</c:v>
                </c:pt>
                <c:pt idx="36">
                  <c:v>1979</c:v>
                </c:pt>
                <c:pt idx="37">
                  <c:v>1979</c:v>
                </c:pt>
                <c:pt idx="38">
                  <c:v>1979</c:v>
                </c:pt>
                <c:pt idx="39">
                  <c:v>1979</c:v>
                </c:pt>
                <c:pt idx="40">
                  <c:v>1980</c:v>
                </c:pt>
                <c:pt idx="41">
                  <c:v>1980</c:v>
                </c:pt>
                <c:pt idx="42">
                  <c:v>1980</c:v>
                </c:pt>
                <c:pt idx="43">
                  <c:v>1980</c:v>
                </c:pt>
                <c:pt idx="44">
                  <c:v>1981</c:v>
                </c:pt>
                <c:pt idx="45">
                  <c:v>1981</c:v>
                </c:pt>
                <c:pt idx="46">
                  <c:v>1981</c:v>
                </c:pt>
                <c:pt idx="47">
                  <c:v>1981</c:v>
                </c:pt>
                <c:pt idx="48">
                  <c:v>1982</c:v>
                </c:pt>
                <c:pt idx="49">
                  <c:v>1982</c:v>
                </c:pt>
                <c:pt idx="50">
                  <c:v>1982</c:v>
                </c:pt>
                <c:pt idx="51">
                  <c:v>1982</c:v>
                </c:pt>
                <c:pt idx="52">
                  <c:v>1983</c:v>
                </c:pt>
                <c:pt idx="53">
                  <c:v>1983</c:v>
                </c:pt>
                <c:pt idx="54">
                  <c:v>1983</c:v>
                </c:pt>
                <c:pt idx="55">
                  <c:v>1983</c:v>
                </c:pt>
                <c:pt idx="56">
                  <c:v>1984</c:v>
                </c:pt>
                <c:pt idx="57">
                  <c:v>1984</c:v>
                </c:pt>
                <c:pt idx="58">
                  <c:v>1984</c:v>
                </c:pt>
                <c:pt idx="59">
                  <c:v>1984</c:v>
                </c:pt>
                <c:pt idx="60">
                  <c:v>1985</c:v>
                </c:pt>
                <c:pt idx="61">
                  <c:v>1985</c:v>
                </c:pt>
                <c:pt idx="62">
                  <c:v>1985</c:v>
                </c:pt>
                <c:pt idx="63">
                  <c:v>1985</c:v>
                </c:pt>
                <c:pt idx="64">
                  <c:v>1986</c:v>
                </c:pt>
                <c:pt idx="65">
                  <c:v>1986</c:v>
                </c:pt>
                <c:pt idx="66">
                  <c:v>1986</c:v>
                </c:pt>
                <c:pt idx="67">
                  <c:v>1986</c:v>
                </c:pt>
                <c:pt idx="68">
                  <c:v>1987</c:v>
                </c:pt>
                <c:pt idx="69">
                  <c:v>1987</c:v>
                </c:pt>
                <c:pt idx="70">
                  <c:v>1987</c:v>
                </c:pt>
                <c:pt idx="71">
                  <c:v>1987</c:v>
                </c:pt>
                <c:pt idx="72">
                  <c:v>1988</c:v>
                </c:pt>
                <c:pt idx="73">
                  <c:v>1988</c:v>
                </c:pt>
                <c:pt idx="74">
                  <c:v>1988</c:v>
                </c:pt>
                <c:pt idx="75">
                  <c:v>1988</c:v>
                </c:pt>
                <c:pt idx="76">
                  <c:v>1989</c:v>
                </c:pt>
                <c:pt idx="77">
                  <c:v>1989</c:v>
                </c:pt>
                <c:pt idx="78">
                  <c:v>1989</c:v>
                </c:pt>
                <c:pt idx="79">
                  <c:v>1989</c:v>
                </c:pt>
                <c:pt idx="80">
                  <c:v>1990</c:v>
                </c:pt>
                <c:pt idx="81">
                  <c:v>1990</c:v>
                </c:pt>
                <c:pt idx="82">
                  <c:v>1990</c:v>
                </c:pt>
                <c:pt idx="83">
                  <c:v>1990</c:v>
                </c:pt>
                <c:pt idx="84">
                  <c:v>1991</c:v>
                </c:pt>
                <c:pt idx="85">
                  <c:v>1991</c:v>
                </c:pt>
                <c:pt idx="86">
                  <c:v>1991</c:v>
                </c:pt>
                <c:pt idx="87">
                  <c:v>1991</c:v>
                </c:pt>
                <c:pt idx="88">
                  <c:v>1992</c:v>
                </c:pt>
                <c:pt idx="89">
                  <c:v>1992</c:v>
                </c:pt>
                <c:pt idx="90">
                  <c:v>1992</c:v>
                </c:pt>
                <c:pt idx="91">
                  <c:v>1992</c:v>
                </c:pt>
                <c:pt idx="92">
                  <c:v>1993</c:v>
                </c:pt>
                <c:pt idx="93">
                  <c:v>1993</c:v>
                </c:pt>
                <c:pt idx="94">
                  <c:v>1993</c:v>
                </c:pt>
                <c:pt idx="95">
                  <c:v>1993</c:v>
                </c:pt>
                <c:pt idx="96">
                  <c:v>1994</c:v>
                </c:pt>
                <c:pt idx="97">
                  <c:v>1994</c:v>
                </c:pt>
                <c:pt idx="98">
                  <c:v>1994</c:v>
                </c:pt>
                <c:pt idx="99">
                  <c:v>1994</c:v>
                </c:pt>
                <c:pt idx="100">
                  <c:v>1995</c:v>
                </c:pt>
                <c:pt idx="101">
                  <c:v>1995</c:v>
                </c:pt>
                <c:pt idx="102">
                  <c:v>1995</c:v>
                </c:pt>
                <c:pt idx="103">
                  <c:v>1995</c:v>
                </c:pt>
                <c:pt idx="104">
                  <c:v>1996</c:v>
                </c:pt>
                <c:pt idx="105">
                  <c:v>1996</c:v>
                </c:pt>
                <c:pt idx="106">
                  <c:v>1996</c:v>
                </c:pt>
                <c:pt idx="107">
                  <c:v>1996</c:v>
                </c:pt>
                <c:pt idx="108">
                  <c:v>1997</c:v>
                </c:pt>
                <c:pt idx="109">
                  <c:v>1997</c:v>
                </c:pt>
                <c:pt idx="110">
                  <c:v>1997</c:v>
                </c:pt>
                <c:pt idx="111">
                  <c:v>1997</c:v>
                </c:pt>
                <c:pt idx="112">
                  <c:v>1998</c:v>
                </c:pt>
                <c:pt idx="113">
                  <c:v>1998</c:v>
                </c:pt>
                <c:pt idx="114">
                  <c:v>1998</c:v>
                </c:pt>
                <c:pt idx="115">
                  <c:v>1998</c:v>
                </c:pt>
                <c:pt idx="116">
                  <c:v>1999</c:v>
                </c:pt>
                <c:pt idx="117">
                  <c:v>1999</c:v>
                </c:pt>
                <c:pt idx="118">
                  <c:v>1999</c:v>
                </c:pt>
                <c:pt idx="119">
                  <c:v>1999</c:v>
                </c:pt>
                <c:pt idx="120">
                  <c:v>2000</c:v>
                </c:pt>
                <c:pt idx="121">
                  <c:v>2000</c:v>
                </c:pt>
                <c:pt idx="122">
                  <c:v>2000</c:v>
                </c:pt>
                <c:pt idx="123">
                  <c:v>2000</c:v>
                </c:pt>
                <c:pt idx="124">
                  <c:v>2001</c:v>
                </c:pt>
                <c:pt idx="125">
                  <c:v>2001</c:v>
                </c:pt>
                <c:pt idx="126">
                  <c:v>2001</c:v>
                </c:pt>
                <c:pt idx="127">
                  <c:v>2001</c:v>
                </c:pt>
                <c:pt idx="128">
                  <c:v>2002</c:v>
                </c:pt>
                <c:pt idx="129">
                  <c:v>2002</c:v>
                </c:pt>
                <c:pt idx="130">
                  <c:v>2002</c:v>
                </c:pt>
                <c:pt idx="131">
                  <c:v>2002</c:v>
                </c:pt>
                <c:pt idx="132">
                  <c:v>2003</c:v>
                </c:pt>
                <c:pt idx="133">
                  <c:v>2003</c:v>
                </c:pt>
                <c:pt idx="134">
                  <c:v>2003</c:v>
                </c:pt>
                <c:pt idx="135">
                  <c:v>2003</c:v>
                </c:pt>
                <c:pt idx="136">
                  <c:v>2004</c:v>
                </c:pt>
                <c:pt idx="137">
                  <c:v>2004</c:v>
                </c:pt>
                <c:pt idx="138">
                  <c:v>2004</c:v>
                </c:pt>
                <c:pt idx="139">
                  <c:v>2004</c:v>
                </c:pt>
                <c:pt idx="140">
                  <c:v>2005</c:v>
                </c:pt>
                <c:pt idx="141">
                  <c:v>2005</c:v>
                </c:pt>
                <c:pt idx="142">
                  <c:v>2005</c:v>
                </c:pt>
                <c:pt idx="143">
                  <c:v>2005</c:v>
                </c:pt>
                <c:pt idx="144">
                  <c:v>2006</c:v>
                </c:pt>
                <c:pt idx="145">
                  <c:v>2006</c:v>
                </c:pt>
                <c:pt idx="146">
                  <c:v>2006</c:v>
                </c:pt>
                <c:pt idx="147">
                  <c:v>2006</c:v>
                </c:pt>
                <c:pt idx="148">
                  <c:v>2007</c:v>
                </c:pt>
                <c:pt idx="149">
                  <c:v>2007</c:v>
                </c:pt>
                <c:pt idx="150">
                  <c:v>2007</c:v>
                </c:pt>
                <c:pt idx="151">
                  <c:v>2007</c:v>
                </c:pt>
                <c:pt idx="152">
                  <c:v>2008</c:v>
                </c:pt>
                <c:pt idx="153">
                  <c:v>2008</c:v>
                </c:pt>
                <c:pt idx="154">
                  <c:v>2008</c:v>
                </c:pt>
                <c:pt idx="155">
                  <c:v>2008</c:v>
                </c:pt>
                <c:pt idx="156">
                  <c:v>2009</c:v>
                </c:pt>
                <c:pt idx="157">
                  <c:v>2009</c:v>
                </c:pt>
                <c:pt idx="158">
                  <c:v>2009</c:v>
                </c:pt>
                <c:pt idx="159">
                  <c:v>2009</c:v>
                </c:pt>
                <c:pt idx="160">
                  <c:v>2010</c:v>
                </c:pt>
                <c:pt idx="161">
                  <c:v>2010</c:v>
                </c:pt>
                <c:pt idx="162">
                  <c:v>2010</c:v>
                </c:pt>
                <c:pt idx="163">
                  <c:v>2010</c:v>
                </c:pt>
                <c:pt idx="164">
                  <c:v>2011</c:v>
                </c:pt>
                <c:pt idx="165">
                  <c:v>2011</c:v>
                </c:pt>
                <c:pt idx="166">
                  <c:v>2011</c:v>
                </c:pt>
                <c:pt idx="167">
                  <c:v>2011</c:v>
                </c:pt>
                <c:pt idx="168">
                  <c:v>2012</c:v>
                </c:pt>
                <c:pt idx="169">
                  <c:v>2012</c:v>
                </c:pt>
                <c:pt idx="170">
                  <c:v>2012</c:v>
                </c:pt>
                <c:pt idx="171">
                  <c:v>2012</c:v>
                </c:pt>
                <c:pt idx="172">
                  <c:v>2013</c:v>
                </c:pt>
              </c:strCache>
            </c:strRef>
          </c:cat>
          <c:val>
            <c:numRef>
              <c:f>Sheet1!$H$2:$H$174</c:f>
              <c:numCache>
                <c:formatCode>General</c:formatCode>
                <c:ptCount val="173"/>
                <c:pt idx="0">
                  <c:v>12</c:v>
                </c:pt>
                <c:pt idx="1">
                  <c:v>12</c:v>
                </c:pt>
                <c:pt idx="2">
                  <c:v>13</c:v>
                </c:pt>
                <c:pt idx="3">
                  <c:v>13</c:v>
                </c:pt>
                <c:pt idx="4">
                  <c:v>13</c:v>
                </c:pt>
                <c:pt idx="5">
                  <c:v>13</c:v>
                </c:pt>
                <c:pt idx="6">
                  <c:v>13</c:v>
                </c:pt>
                <c:pt idx="7">
                  <c:v>13</c:v>
                </c:pt>
                <c:pt idx="8">
                  <c:v>13</c:v>
                </c:pt>
                <c:pt idx="9">
                  <c:v>13</c:v>
                </c:pt>
                <c:pt idx="10">
                  <c:v>13</c:v>
                </c:pt>
                <c:pt idx="11">
                  <c:v>13</c:v>
                </c:pt>
                <c:pt idx="12">
                  <c:v>13</c:v>
                </c:pt>
                <c:pt idx="13">
                  <c:v>13</c:v>
                </c:pt>
                <c:pt idx="14">
                  <c:v>13</c:v>
                </c:pt>
                <c:pt idx="15">
                  <c:v>13</c:v>
                </c:pt>
                <c:pt idx="16">
                  <c:v>13</c:v>
                </c:pt>
                <c:pt idx="17">
                  <c:v>13</c:v>
                </c:pt>
                <c:pt idx="18">
                  <c:v>13</c:v>
                </c:pt>
                <c:pt idx="19">
                  <c:v>13</c:v>
                </c:pt>
                <c:pt idx="20">
                  <c:v>13</c:v>
                </c:pt>
                <c:pt idx="21">
                  <c:v>13</c:v>
                </c:pt>
                <c:pt idx="22">
                  <c:v>14</c:v>
                </c:pt>
                <c:pt idx="23">
                  <c:v>14</c:v>
                </c:pt>
                <c:pt idx="24">
                  <c:v>15</c:v>
                </c:pt>
                <c:pt idx="25">
                  <c:v>16</c:v>
                </c:pt>
                <c:pt idx="26">
                  <c:v>17</c:v>
                </c:pt>
                <c:pt idx="27">
                  <c:v>18</c:v>
                </c:pt>
                <c:pt idx="28">
                  <c:v>19</c:v>
                </c:pt>
                <c:pt idx="29">
                  <c:v>21</c:v>
                </c:pt>
                <c:pt idx="30">
                  <c:v>22</c:v>
                </c:pt>
                <c:pt idx="31">
                  <c:v>24</c:v>
                </c:pt>
                <c:pt idx="32">
                  <c:v>25</c:v>
                </c:pt>
                <c:pt idx="33">
                  <c:v>27</c:v>
                </c:pt>
                <c:pt idx="34">
                  <c:v>28</c:v>
                </c:pt>
                <c:pt idx="35">
                  <c:v>30</c:v>
                </c:pt>
                <c:pt idx="36">
                  <c:v>31</c:v>
                </c:pt>
                <c:pt idx="37">
                  <c:v>31</c:v>
                </c:pt>
                <c:pt idx="38">
                  <c:v>32</c:v>
                </c:pt>
                <c:pt idx="39">
                  <c:v>32</c:v>
                </c:pt>
                <c:pt idx="40">
                  <c:v>32</c:v>
                </c:pt>
                <c:pt idx="41">
                  <c:v>32</c:v>
                </c:pt>
                <c:pt idx="42">
                  <c:v>32</c:v>
                </c:pt>
                <c:pt idx="43">
                  <c:v>32</c:v>
                </c:pt>
                <c:pt idx="44">
                  <c:v>32</c:v>
                </c:pt>
                <c:pt idx="45">
                  <c:v>32</c:v>
                </c:pt>
                <c:pt idx="46">
                  <c:v>32</c:v>
                </c:pt>
                <c:pt idx="47">
                  <c:v>33</c:v>
                </c:pt>
                <c:pt idx="48">
                  <c:v>34</c:v>
                </c:pt>
                <c:pt idx="49">
                  <c:v>36</c:v>
                </c:pt>
                <c:pt idx="50">
                  <c:v>38</c:v>
                </c:pt>
                <c:pt idx="51">
                  <c:v>39</c:v>
                </c:pt>
                <c:pt idx="52">
                  <c:v>41</c:v>
                </c:pt>
                <c:pt idx="53">
                  <c:v>43</c:v>
                </c:pt>
                <c:pt idx="54">
                  <c:v>44</c:v>
                </c:pt>
                <c:pt idx="55">
                  <c:v>46</c:v>
                </c:pt>
                <c:pt idx="56">
                  <c:v>47</c:v>
                </c:pt>
                <c:pt idx="57">
                  <c:v>48</c:v>
                </c:pt>
                <c:pt idx="58">
                  <c:v>49</c:v>
                </c:pt>
                <c:pt idx="59">
                  <c:v>50</c:v>
                </c:pt>
                <c:pt idx="60">
                  <c:v>50</c:v>
                </c:pt>
                <c:pt idx="61">
                  <c:v>51</c:v>
                </c:pt>
                <c:pt idx="62">
                  <c:v>52</c:v>
                </c:pt>
                <c:pt idx="63">
                  <c:v>53</c:v>
                </c:pt>
                <c:pt idx="64">
                  <c:v>54</c:v>
                </c:pt>
                <c:pt idx="65">
                  <c:v>55</c:v>
                </c:pt>
                <c:pt idx="66">
                  <c:v>56</c:v>
                </c:pt>
                <c:pt idx="67">
                  <c:v>57</c:v>
                </c:pt>
                <c:pt idx="68">
                  <c:v>58</c:v>
                </c:pt>
                <c:pt idx="69">
                  <c:v>60</c:v>
                </c:pt>
                <c:pt idx="70">
                  <c:v>61</c:v>
                </c:pt>
                <c:pt idx="71">
                  <c:v>63</c:v>
                </c:pt>
                <c:pt idx="72">
                  <c:v>65</c:v>
                </c:pt>
                <c:pt idx="73">
                  <c:v>67</c:v>
                </c:pt>
                <c:pt idx="74">
                  <c:v>69</c:v>
                </c:pt>
                <c:pt idx="75">
                  <c:v>71</c:v>
                </c:pt>
                <c:pt idx="76">
                  <c:v>73</c:v>
                </c:pt>
                <c:pt idx="77">
                  <c:v>75</c:v>
                </c:pt>
                <c:pt idx="78">
                  <c:v>77</c:v>
                </c:pt>
                <c:pt idx="79">
                  <c:v>79</c:v>
                </c:pt>
                <c:pt idx="80">
                  <c:v>80</c:v>
                </c:pt>
                <c:pt idx="81">
                  <c:v>81</c:v>
                </c:pt>
                <c:pt idx="82">
                  <c:v>81</c:v>
                </c:pt>
                <c:pt idx="83">
                  <c:v>80</c:v>
                </c:pt>
                <c:pt idx="84">
                  <c:v>79</c:v>
                </c:pt>
                <c:pt idx="85">
                  <c:v>78</c:v>
                </c:pt>
                <c:pt idx="86">
                  <c:v>76</c:v>
                </c:pt>
                <c:pt idx="87">
                  <c:v>75</c:v>
                </c:pt>
                <c:pt idx="88">
                  <c:v>74</c:v>
                </c:pt>
                <c:pt idx="89">
                  <c:v>72</c:v>
                </c:pt>
                <c:pt idx="90">
                  <c:v>71</c:v>
                </c:pt>
                <c:pt idx="91">
                  <c:v>70</c:v>
                </c:pt>
                <c:pt idx="92">
                  <c:v>68</c:v>
                </c:pt>
                <c:pt idx="93">
                  <c:v>67</c:v>
                </c:pt>
                <c:pt idx="94">
                  <c:v>66</c:v>
                </c:pt>
                <c:pt idx="95">
                  <c:v>65</c:v>
                </c:pt>
                <c:pt idx="96">
                  <c:v>64</c:v>
                </c:pt>
                <c:pt idx="97">
                  <c:v>63</c:v>
                </c:pt>
                <c:pt idx="98">
                  <c:v>62</c:v>
                </c:pt>
                <c:pt idx="99">
                  <c:v>61</c:v>
                </c:pt>
                <c:pt idx="100">
                  <c:v>60</c:v>
                </c:pt>
                <c:pt idx="101">
                  <c:v>59</c:v>
                </c:pt>
                <c:pt idx="102">
                  <c:v>59</c:v>
                </c:pt>
                <c:pt idx="103">
                  <c:v>58</c:v>
                </c:pt>
                <c:pt idx="104">
                  <c:v>57</c:v>
                </c:pt>
                <c:pt idx="105">
                  <c:v>57</c:v>
                </c:pt>
                <c:pt idx="106">
                  <c:v>56</c:v>
                </c:pt>
                <c:pt idx="107">
                  <c:v>56</c:v>
                </c:pt>
                <c:pt idx="108">
                  <c:v>55</c:v>
                </c:pt>
                <c:pt idx="109">
                  <c:v>55</c:v>
                </c:pt>
                <c:pt idx="110">
                  <c:v>56</c:v>
                </c:pt>
                <c:pt idx="111">
                  <c:v>56</c:v>
                </c:pt>
                <c:pt idx="112">
                  <c:v>56</c:v>
                </c:pt>
                <c:pt idx="113">
                  <c:v>57</c:v>
                </c:pt>
                <c:pt idx="114">
                  <c:v>58</c:v>
                </c:pt>
                <c:pt idx="115">
                  <c:v>59</c:v>
                </c:pt>
                <c:pt idx="116">
                  <c:v>59</c:v>
                </c:pt>
                <c:pt idx="117">
                  <c:v>61</c:v>
                </c:pt>
                <c:pt idx="118">
                  <c:v>62</c:v>
                </c:pt>
                <c:pt idx="119">
                  <c:v>63</c:v>
                </c:pt>
                <c:pt idx="120">
                  <c:v>65</c:v>
                </c:pt>
                <c:pt idx="121">
                  <c:v>66</c:v>
                </c:pt>
                <c:pt idx="122">
                  <c:v>68</c:v>
                </c:pt>
                <c:pt idx="123">
                  <c:v>70</c:v>
                </c:pt>
                <c:pt idx="124">
                  <c:v>72</c:v>
                </c:pt>
                <c:pt idx="125">
                  <c:v>74</c:v>
                </c:pt>
                <c:pt idx="126">
                  <c:v>77</c:v>
                </c:pt>
                <c:pt idx="127">
                  <c:v>80</c:v>
                </c:pt>
                <c:pt idx="128">
                  <c:v>83</c:v>
                </c:pt>
                <c:pt idx="129">
                  <c:v>87</c:v>
                </c:pt>
                <c:pt idx="130">
                  <c:v>91</c:v>
                </c:pt>
                <c:pt idx="131">
                  <c:v>96</c:v>
                </c:pt>
                <c:pt idx="132">
                  <c:v>101</c:v>
                </c:pt>
                <c:pt idx="133">
                  <c:v>107</c:v>
                </c:pt>
                <c:pt idx="134">
                  <c:v>114</c:v>
                </c:pt>
                <c:pt idx="135">
                  <c:v>121</c:v>
                </c:pt>
                <c:pt idx="136">
                  <c:v>128</c:v>
                </c:pt>
                <c:pt idx="137">
                  <c:v>135</c:v>
                </c:pt>
                <c:pt idx="138">
                  <c:v>142</c:v>
                </c:pt>
                <c:pt idx="139">
                  <c:v>149</c:v>
                </c:pt>
                <c:pt idx="140">
                  <c:v>156</c:v>
                </c:pt>
                <c:pt idx="141">
                  <c:v>161</c:v>
                </c:pt>
                <c:pt idx="142">
                  <c:v>166</c:v>
                </c:pt>
                <c:pt idx="143">
                  <c:v>170</c:v>
                </c:pt>
                <c:pt idx="144">
                  <c:v>172</c:v>
                </c:pt>
                <c:pt idx="145">
                  <c:v>173</c:v>
                </c:pt>
                <c:pt idx="146">
                  <c:v>172</c:v>
                </c:pt>
                <c:pt idx="147">
                  <c:v>169</c:v>
                </c:pt>
                <c:pt idx="148">
                  <c:v>164</c:v>
                </c:pt>
                <c:pt idx="149">
                  <c:v>158</c:v>
                </c:pt>
                <c:pt idx="150">
                  <c:v>150</c:v>
                </c:pt>
                <c:pt idx="151">
                  <c:v>141</c:v>
                </c:pt>
                <c:pt idx="152">
                  <c:v>131</c:v>
                </c:pt>
                <c:pt idx="153">
                  <c:v>121</c:v>
                </c:pt>
                <c:pt idx="154">
                  <c:v>111</c:v>
                </c:pt>
                <c:pt idx="155">
                  <c:v>102</c:v>
                </c:pt>
                <c:pt idx="156">
                  <c:v>94</c:v>
                </c:pt>
                <c:pt idx="157">
                  <c:v>88</c:v>
                </c:pt>
                <c:pt idx="158">
                  <c:v>83</c:v>
                </c:pt>
                <c:pt idx="159">
                  <c:v>79</c:v>
                </c:pt>
                <c:pt idx="160">
                  <c:v>76</c:v>
                </c:pt>
                <c:pt idx="161">
                  <c:v>74</c:v>
                </c:pt>
                <c:pt idx="162">
                  <c:v>73</c:v>
                </c:pt>
                <c:pt idx="163">
                  <c:v>72</c:v>
                </c:pt>
                <c:pt idx="164">
                  <c:v>72</c:v>
                </c:pt>
                <c:pt idx="165">
                  <c:v>71</c:v>
                </c:pt>
                <c:pt idx="166">
                  <c:v>71</c:v>
                </c:pt>
                <c:pt idx="167">
                  <c:v>72</c:v>
                </c:pt>
                <c:pt idx="168">
                  <c:v>72</c:v>
                </c:pt>
                <c:pt idx="169">
                  <c:v>73</c:v>
                </c:pt>
                <c:pt idx="170">
                  <c:v>74</c:v>
                </c:pt>
                <c:pt idx="171">
                  <c:v>75</c:v>
                </c:pt>
                <c:pt idx="172">
                  <c:v>76</c:v>
                </c:pt>
              </c:numCache>
            </c:numRef>
          </c:val>
          <c:smooth val="0"/>
        </c:ser>
        <c:ser>
          <c:idx val="2"/>
          <c:order val="2"/>
          <c:tx>
            <c:strRef>
              <c:f>Sheet1!$J$1</c:f>
              <c:strCache>
                <c:ptCount val="1"/>
                <c:pt idx="0">
                  <c:v>Burbank Price/Living</c:v>
                </c:pt>
              </c:strCache>
            </c:strRef>
          </c:tx>
          <c:marker>
            <c:symbol val="none"/>
          </c:marker>
          <c:cat>
            <c:strRef>
              <c:f>Sheet1!$B$2:$B$174</c:f>
              <c:strCache>
                <c:ptCount val="173"/>
                <c:pt idx="0">
                  <c:v>1970</c:v>
                </c:pt>
                <c:pt idx="1">
                  <c:v>1970</c:v>
                </c:pt>
                <c:pt idx="2">
                  <c:v>1970</c:v>
                </c:pt>
                <c:pt idx="3">
                  <c:v>1970</c:v>
                </c:pt>
                <c:pt idx="4">
                  <c:v>1971</c:v>
                </c:pt>
                <c:pt idx="5">
                  <c:v>1971</c:v>
                </c:pt>
                <c:pt idx="6">
                  <c:v>1971</c:v>
                </c:pt>
                <c:pt idx="7">
                  <c:v>1971</c:v>
                </c:pt>
                <c:pt idx="8">
                  <c:v>1972</c:v>
                </c:pt>
                <c:pt idx="9">
                  <c:v>1972</c:v>
                </c:pt>
                <c:pt idx="10">
                  <c:v>1972</c:v>
                </c:pt>
                <c:pt idx="11">
                  <c:v>1972</c:v>
                </c:pt>
                <c:pt idx="12">
                  <c:v>1973</c:v>
                </c:pt>
                <c:pt idx="13">
                  <c:v>1973</c:v>
                </c:pt>
                <c:pt idx="14">
                  <c:v>1973</c:v>
                </c:pt>
                <c:pt idx="15">
                  <c:v>1973</c:v>
                </c:pt>
                <c:pt idx="16">
                  <c:v>1974</c:v>
                </c:pt>
                <c:pt idx="17">
                  <c:v>1974</c:v>
                </c:pt>
                <c:pt idx="18">
                  <c:v>1974</c:v>
                </c:pt>
                <c:pt idx="19">
                  <c:v>1974</c:v>
                </c:pt>
                <c:pt idx="20">
                  <c:v>1975</c:v>
                </c:pt>
                <c:pt idx="21">
                  <c:v>1975</c:v>
                </c:pt>
                <c:pt idx="22">
                  <c:v>1975</c:v>
                </c:pt>
                <c:pt idx="23">
                  <c:v>1975</c:v>
                </c:pt>
                <c:pt idx="24">
                  <c:v>1976</c:v>
                </c:pt>
                <c:pt idx="25">
                  <c:v>1976</c:v>
                </c:pt>
                <c:pt idx="26">
                  <c:v>1976</c:v>
                </c:pt>
                <c:pt idx="27">
                  <c:v>1976</c:v>
                </c:pt>
                <c:pt idx="28">
                  <c:v>1977</c:v>
                </c:pt>
                <c:pt idx="29">
                  <c:v>1977</c:v>
                </c:pt>
                <c:pt idx="30">
                  <c:v>1977</c:v>
                </c:pt>
                <c:pt idx="31">
                  <c:v>1977</c:v>
                </c:pt>
                <c:pt idx="32">
                  <c:v>1978</c:v>
                </c:pt>
                <c:pt idx="33">
                  <c:v>1978</c:v>
                </c:pt>
                <c:pt idx="34">
                  <c:v>1978</c:v>
                </c:pt>
                <c:pt idx="35">
                  <c:v>1978</c:v>
                </c:pt>
                <c:pt idx="36">
                  <c:v>1979</c:v>
                </c:pt>
                <c:pt idx="37">
                  <c:v>1979</c:v>
                </c:pt>
                <c:pt idx="38">
                  <c:v>1979</c:v>
                </c:pt>
                <c:pt idx="39">
                  <c:v>1979</c:v>
                </c:pt>
                <c:pt idx="40">
                  <c:v>1980</c:v>
                </c:pt>
                <c:pt idx="41">
                  <c:v>1980</c:v>
                </c:pt>
                <c:pt idx="42">
                  <c:v>1980</c:v>
                </c:pt>
                <c:pt idx="43">
                  <c:v>1980</c:v>
                </c:pt>
                <c:pt idx="44">
                  <c:v>1981</c:v>
                </c:pt>
                <c:pt idx="45">
                  <c:v>1981</c:v>
                </c:pt>
                <c:pt idx="46">
                  <c:v>1981</c:v>
                </c:pt>
                <c:pt idx="47">
                  <c:v>1981</c:v>
                </c:pt>
                <c:pt idx="48">
                  <c:v>1982</c:v>
                </c:pt>
                <c:pt idx="49">
                  <c:v>1982</c:v>
                </c:pt>
                <c:pt idx="50">
                  <c:v>1982</c:v>
                </c:pt>
                <c:pt idx="51">
                  <c:v>1982</c:v>
                </c:pt>
                <c:pt idx="52">
                  <c:v>1983</c:v>
                </c:pt>
                <c:pt idx="53">
                  <c:v>1983</c:v>
                </c:pt>
                <c:pt idx="54">
                  <c:v>1983</c:v>
                </c:pt>
                <c:pt idx="55">
                  <c:v>1983</c:v>
                </c:pt>
                <c:pt idx="56">
                  <c:v>1984</c:v>
                </c:pt>
                <c:pt idx="57">
                  <c:v>1984</c:v>
                </c:pt>
                <c:pt idx="58">
                  <c:v>1984</c:v>
                </c:pt>
                <c:pt idx="59">
                  <c:v>1984</c:v>
                </c:pt>
                <c:pt idx="60">
                  <c:v>1985</c:v>
                </c:pt>
                <c:pt idx="61">
                  <c:v>1985</c:v>
                </c:pt>
                <c:pt idx="62">
                  <c:v>1985</c:v>
                </c:pt>
                <c:pt idx="63">
                  <c:v>1985</c:v>
                </c:pt>
                <c:pt idx="64">
                  <c:v>1986</c:v>
                </c:pt>
                <c:pt idx="65">
                  <c:v>1986</c:v>
                </c:pt>
                <c:pt idx="66">
                  <c:v>1986</c:v>
                </c:pt>
                <c:pt idx="67">
                  <c:v>1986</c:v>
                </c:pt>
                <c:pt idx="68">
                  <c:v>1987</c:v>
                </c:pt>
                <c:pt idx="69">
                  <c:v>1987</c:v>
                </c:pt>
                <c:pt idx="70">
                  <c:v>1987</c:v>
                </c:pt>
                <c:pt idx="71">
                  <c:v>1987</c:v>
                </c:pt>
                <c:pt idx="72">
                  <c:v>1988</c:v>
                </c:pt>
                <c:pt idx="73">
                  <c:v>1988</c:v>
                </c:pt>
                <c:pt idx="74">
                  <c:v>1988</c:v>
                </c:pt>
                <c:pt idx="75">
                  <c:v>1988</c:v>
                </c:pt>
                <c:pt idx="76">
                  <c:v>1989</c:v>
                </c:pt>
                <c:pt idx="77">
                  <c:v>1989</c:v>
                </c:pt>
                <c:pt idx="78">
                  <c:v>1989</c:v>
                </c:pt>
                <c:pt idx="79">
                  <c:v>1989</c:v>
                </c:pt>
                <c:pt idx="80">
                  <c:v>1990</c:v>
                </c:pt>
                <c:pt idx="81">
                  <c:v>1990</c:v>
                </c:pt>
                <c:pt idx="82">
                  <c:v>1990</c:v>
                </c:pt>
                <c:pt idx="83">
                  <c:v>1990</c:v>
                </c:pt>
                <c:pt idx="84">
                  <c:v>1991</c:v>
                </c:pt>
                <c:pt idx="85">
                  <c:v>1991</c:v>
                </c:pt>
                <c:pt idx="86">
                  <c:v>1991</c:v>
                </c:pt>
                <c:pt idx="87">
                  <c:v>1991</c:v>
                </c:pt>
                <c:pt idx="88">
                  <c:v>1992</c:v>
                </c:pt>
                <c:pt idx="89">
                  <c:v>1992</c:v>
                </c:pt>
                <c:pt idx="90">
                  <c:v>1992</c:v>
                </c:pt>
                <c:pt idx="91">
                  <c:v>1992</c:v>
                </c:pt>
                <c:pt idx="92">
                  <c:v>1993</c:v>
                </c:pt>
                <c:pt idx="93">
                  <c:v>1993</c:v>
                </c:pt>
                <c:pt idx="94">
                  <c:v>1993</c:v>
                </c:pt>
                <c:pt idx="95">
                  <c:v>1993</c:v>
                </c:pt>
                <c:pt idx="96">
                  <c:v>1994</c:v>
                </c:pt>
                <c:pt idx="97">
                  <c:v>1994</c:v>
                </c:pt>
                <c:pt idx="98">
                  <c:v>1994</c:v>
                </c:pt>
                <c:pt idx="99">
                  <c:v>1994</c:v>
                </c:pt>
                <c:pt idx="100">
                  <c:v>1995</c:v>
                </c:pt>
                <c:pt idx="101">
                  <c:v>1995</c:v>
                </c:pt>
                <c:pt idx="102">
                  <c:v>1995</c:v>
                </c:pt>
                <c:pt idx="103">
                  <c:v>1995</c:v>
                </c:pt>
                <c:pt idx="104">
                  <c:v>1996</c:v>
                </c:pt>
                <c:pt idx="105">
                  <c:v>1996</c:v>
                </c:pt>
                <c:pt idx="106">
                  <c:v>1996</c:v>
                </c:pt>
                <c:pt idx="107">
                  <c:v>1996</c:v>
                </c:pt>
                <c:pt idx="108">
                  <c:v>1997</c:v>
                </c:pt>
                <c:pt idx="109">
                  <c:v>1997</c:v>
                </c:pt>
                <c:pt idx="110">
                  <c:v>1997</c:v>
                </c:pt>
                <c:pt idx="111">
                  <c:v>1997</c:v>
                </c:pt>
                <c:pt idx="112">
                  <c:v>1998</c:v>
                </c:pt>
                <c:pt idx="113">
                  <c:v>1998</c:v>
                </c:pt>
                <c:pt idx="114">
                  <c:v>1998</c:v>
                </c:pt>
                <c:pt idx="115">
                  <c:v>1998</c:v>
                </c:pt>
                <c:pt idx="116">
                  <c:v>1999</c:v>
                </c:pt>
                <c:pt idx="117">
                  <c:v>1999</c:v>
                </c:pt>
                <c:pt idx="118">
                  <c:v>1999</c:v>
                </c:pt>
                <c:pt idx="119">
                  <c:v>1999</c:v>
                </c:pt>
                <c:pt idx="120">
                  <c:v>2000</c:v>
                </c:pt>
                <c:pt idx="121">
                  <c:v>2000</c:v>
                </c:pt>
                <c:pt idx="122">
                  <c:v>2000</c:v>
                </c:pt>
                <c:pt idx="123">
                  <c:v>2000</c:v>
                </c:pt>
                <c:pt idx="124">
                  <c:v>2001</c:v>
                </c:pt>
                <c:pt idx="125">
                  <c:v>2001</c:v>
                </c:pt>
                <c:pt idx="126">
                  <c:v>2001</c:v>
                </c:pt>
                <c:pt idx="127">
                  <c:v>2001</c:v>
                </c:pt>
                <c:pt idx="128">
                  <c:v>2002</c:v>
                </c:pt>
                <c:pt idx="129">
                  <c:v>2002</c:v>
                </c:pt>
                <c:pt idx="130">
                  <c:v>2002</c:v>
                </c:pt>
                <c:pt idx="131">
                  <c:v>2002</c:v>
                </c:pt>
                <c:pt idx="132">
                  <c:v>2003</c:v>
                </c:pt>
                <c:pt idx="133">
                  <c:v>2003</c:v>
                </c:pt>
                <c:pt idx="134">
                  <c:v>2003</c:v>
                </c:pt>
                <c:pt idx="135">
                  <c:v>2003</c:v>
                </c:pt>
                <c:pt idx="136">
                  <c:v>2004</c:v>
                </c:pt>
                <c:pt idx="137">
                  <c:v>2004</c:v>
                </c:pt>
                <c:pt idx="138">
                  <c:v>2004</c:v>
                </c:pt>
                <c:pt idx="139">
                  <c:v>2004</c:v>
                </c:pt>
                <c:pt idx="140">
                  <c:v>2005</c:v>
                </c:pt>
                <c:pt idx="141">
                  <c:v>2005</c:v>
                </c:pt>
                <c:pt idx="142">
                  <c:v>2005</c:v>
                </c:pt>
                <c:pt idx="143">
                  <c:v>2005</c:v>
                </c:pt>
                <c:pt idx="144">
                  <c:v>2006</c:v>
                </c:pt>
                <c:pt idx="145">
                  <c:v>2006</c:v>
                </c:pt>
                <c:pt idx="146">
                  <c:v>2006</c:v>
                </c:pt>
                <c:pt idx="147">
                  <c:v>2006</c:v>
                </c:pt>
                <c:pt idx="148">
                  <c:v>2007</c:v>
                </c:pt>
                <c:pt idx="149">
                  <c:v>2007</c:v>
                </c:pt>
                <c:pt idx="150">
                  <c:v>2007</c:v>
                </c:pt>
                <c:pt idx="151">
                  <c:v>2007</c:v>
                </c:pt>
                <c:pt idx="152">
                  <c:v>2008</c:v>
                </c:pt>
                <c:pt idx="153">
                  <c:v>2008</c:v>
                </c:pt>
                <c:pt idx="154">
                  <c:v>2008</c:v>
                </c:pt>
                <c:pt idx="155">
                  <c:v>2008</c:v>
                </c:pt>
                <c:pt idx="156">
                  <c:v>2009</c:v>
                </c:pt>
                <c:pt idx="157">
                  <c:v>2009</c:v>
                </c:pt>
                <c:pt idx="158">
                  <c:v>2009</c:v>
                </c:pt>
                <c:pt idx="159">
                  <c:v>2009</c:v>
                </c:pt>
                <c:pt idx="160">
                  <c:v>2010</c:v>
                </c:pt>
                <c:pt idx="161">
                  <c:v>2010</c:v>
                </c:pt>
                <c:pt idx="162">
                  <c:v>2010</c:v>
                </c:pt>
                <c:pt idx="163">
                  <c:v>2010</c:v>
                </c:pt>
                <c:pt idx="164">
                  <c:v>2011</c:v>
                </c:pt>
                <c:pt idx="165">
                  <c:v>2011</c:v>
                </c:pt>
                <c:pt idx="166">
                  <c:v>2011</c:v>
                </c:pt>
                <c:pt idx="167">
                  <c:v>2011</c:v>
                </c:pt>
                <c:pt idx="168">
                  <c:v>2012</c:v>
                </c:pt>
                <c:pt idx="169">
                  <c:v>2012</c:v>
                </c:pt>
                <c:pt idx="170">
                  <c:v>2012</c:v>
                </c:pt>
                <c:pt idx="171">
                  <c:v>2012</c:v>
                </c:pt>
                <c:pt idx="172">
                  <c:v>2013</c:v>
                </c:pt>
              </c:strCache>
            </c:strRef>
          </c:cat>
          <c:val>
            <c:numRef>
              <c:f>Sheet1!$J$2:$J$174</c:f>
              <c:numCache>
                <c:formatCode>General</c:formatCode>
                <c:ptCount val="173"/>
                <c:pt idx="0">
                  <c:v>8</c:v>
                </c:pt>
                <c:pt idx="1">
                  <c:v>9</c:v>
                </c:pt>
                <c:pt idx="2">
                  <c:v>11</c:v>
                </c:pt>
                <c:pt idx="3">
                  <c:v>13</c:v>
                </c:pt>
                <c:pt idx="4">
                  <c:v>14</c:v>
                </c:pt>
                <c:pt idx="5">
                  <c:v>15</c:v>
                </c:pt>
                <c:pt idx="6">
                  <c:v>16</c:v>
                </c:pt>
                <c:pt idx="7">
                  <c:v>17</c:v>
                </c:pt>
                <c:pt idx="8">
                  <c:v>18</c:v>
                </c:pt>
                <c:pt idx="9">
                  <c:v>19</c:v>
                </c:pt>
                <c:pt idx="10">
                  <c:v>19</c:v>
                </c:pt>
                <c:pt idx="11">
                  <c:v>20</c:v>
                </c:pt>
                <c:pt idx="12">
                  <c:v>20</c:v>
                </c:pt>
                <c:pt idx="13">
                  <c:v>20</c:v>
                </c:pt>
                <c:pt idx="14">
                  <c:v>21</c:v>
                </c:pt>
                <c:pt idx="15">
                  <c:v>21</c:v>
                </c:pt>
                <c:pt idx="16">
                  <c:v>22</c:v>
                </c:pt>
                <c:pt idx="17">
                  <c:v>22</c:v>
                </c:pt>
                <c:pt idx="18">
                  <c:v>22</c:v>
                </c:pt>
                <c:pt idx="19">
                  <c:v>23</c:v>
                </c:pt>
                <c:pt idx="20">
                  <c:v>24</c:v>
                </c:pt>
                <c:pt idx="21">
                  <c:v>25</c:v>
                </c:pt>
                <c:pt idx="22">
                  <c:v>26</c:v>
                </c:pt>
                <c:pt idx="23">
                  <c:v>27</c:v>
                </c:pt>
                <c:pt idx="24">
                  <c:v>29</c:v>
                </c:pt>
                <c:pt idx="25">
                  <c:v>31</c:v>
                </c:pt>
                <c:pt idx="26">
                  <c:v>33</c:v>
                </c:pt>
                <c:pt idx="27">
                  <c:v>35</c:v>
                </c:pt>
                <c:pt idx="28">
                  <c:v>38</c:v>
                </c:pt>
                <c:pt idx="29">
                  <c:v>40</c:v>
                </c:pt>
                <c:pt idx="30">
                  <c:v>42</c:v>
                </c:pt>
                <c:pt idx="31">
                  <c:v>45</c:v>
                </c:pt>
                <c:pt idx="32">
                  <c:v>47</c:v>
                </c:pt>
                <c:pt idx="33">
                  <c:v>49</c:v>
                </c:pt>
                <c:pt idx="34">
                  <c:v>51</c:v>
                </c:pt>
                <c:pt idx="35">
                  <c:v>53</c:v>
                </c:pt>
                <c:pt idx="36">
                  <c:v>54</c:v>
                </c:pt>
                <c:pt idx="37">
                  <c:v>55</c:v>
                </c:pt>
                <c:pt idx="38">
                  <c:v>55</c:v>
                </c:pt>
                <c:pt idx="39">
                  <c:v>55</c:v>
                </c:pt>
                <c:pt idx="40">
                  <c:v>54</c:v>
                </c:pt>
                <c:pt idx="41">
                  <c:v>53</c:v>
                </c:pt>
                <c:pt idx="42">
                  <c:v>53</c:v>
                </c:pt>
                <c:pt idx="43">
                  <c:v>52</c:v>
                </c:pt>
                <c:pt idx="44">
                  <c:v>51</c:v>
                </c:pt>
                <c:pt idx="45">
                  <c:v>51</c:v>
                </c:pt>
                <c:pt idx="46">
                  <c:v>52</c:v>
                </c:pt>
                <c:pt idx="47">
                  <c:v>53</c:v>
                </c:pt>
                <c:pt idx="48">
                  <c:v>54</c:v>
                </c:pt>
                <c:pt idx="49">
                  <c:v>57</c:v>
                </c:pt>
                <c:pt idx="50">
                  <c:v>60</c:v>
                </c:pt>
                <c:pt idx="51">
                  <c:v>63</c:v>
                </c:pt>
                <c:pt idx="52">
                  <c:v>66</c:v>
                </c:pt>
                <c:pt idx="53">
                  <c:v>69</c:v>
                </c:pt>
                <c:pt idx="54">
                  <c:v>71</c:v>
                </c:pt>
                <c:pt idx="55">
                  <c:v>73</c:v>
                </c:pt>
                <c:pt idx="56">
                  <c:v>75</c:v>
                </c:pt>
                <c:pt idx="57">
                  <c:v>76</c:v>
                </c:pt>
                <c:pt idx="58">
                  <c:v>77</c:v>
                </c:pt>
                <c:pt idx="59">
                  <c:v>78</c:v>
                </c:pt>
                <c:pt idx="60">
                  <c:v>79</c:v>
                </c:pt>
                <c:pt idx="61">
                  <c:v>80</c:v>
                </c:pt>
                <c:pt idx="62">
                  <c:v>82</c:v>
                </c:pt>
                <c:pt idx="63">
                  <c:v>84</c:v>
                </c:pt>
                <c:pt idx="64">
                  <c:v>86</c:v>
                </c:pt>
                <c:pt idx="65">
                  <c:v>90</c:v>
                </c:pt>
                <c:pt idx="66">
                  <c:v>94</c:v>
                </c:pt>
                <c:pt idx="67">
                  <c:v>98</c:v>
                </c:pt>
                <c:pt idx="68">
                  <c:v>103</c:v>
                </c:pt>
                <c:pt idx="69">
                  <c:v>109</c:v>
                </c:pt>
                <c:pt idx="70">
                  <c:v>115</c:v>
                </c:pt>
                <c:pt idx="71">
                  <c:v>122</c:v>
                </c:pt>
                <c:pt idx="72">
                  <c:v>128</c:v>
                </c:pt>
                <c:pt idx="73">
                  <c:v>135</c:v>
                </c:pt>
                <c:pt idx="74">
                  <c:v>142</c:v>
                </c:pt>
                <c:pt idx="75">
                  <c:v>148</c:v>
                </c:pt>
                <c:pt idx="76">
                  <c:v>154</c:v>
                </c:pt>
                <c:pt idx="77">
                  <c:v>160</c:v>
                </c:pt>
                <c:pt idx="78">
                  <c:v>164</c:v>
                </c:pt>
                <c:pt idx="79">
                  <c:v>167</c:v>
                </c:pt>
                <c:pt idx="80">
                  <c:v>170</c:v>
                </c:pt>
                <c:pt idx="81">
                  <c:v>171</c:v>
                </c:pt>
                <c:pt idx="82">
                  <c:v>172</c:v>
                </c:pt>
                <c:pt idx="83">
                  <c:v>172</c:v>
                </c:pt>
                <c:pt idx="84">
                  <c:v>171</c:v>
                </c:pt>
                <c:pt idx="85">
                  <c:v>170</c:v>
                </c:pt>
                <c:pt idx="86">
                  <c:v>169</c:v>
                </c:pt>
                <c:pt idx="87">
                  <c:v>167</c:v>
                </c:pt>
                <c:pt idx="88">
                  <c:v>165</c:v>
                </c:pt>
                <c:pt idx="89">
                  <c:v>162</c:v>
                </c:pt>
                <c:pt idx="90">
                  <c:v>158</c:v>
                </c:pt>
                <c:pt idx="91">
                  <c:v>155</c:v>
                </c:pt>
                <c:pt idx="92">
                  <c:v>152</c:v>
                </c:pt>
                <c:pt idx="93">
                  <c:v>148</c:v>
                </c:pt>
                <c:pt idx="94">
                  <c:v>145</c:v>
                </c:pt>
                <c:pt idx="95">
                  <c:v>141</c:v>
                </c:pt>
                <c:pt idx="96">
                  <c:v>139</c:v>
                </c:pt>
                <c:pt idx="97">
                  <c:v>136</c:v>
                </c:pt>
                <c:pt idx="98">
                  <c:v>134</c:v>
                </c:pt>
                <c:pt idx="99">
                  <c:v>132</c:v>
                </c:pt>
                <c:pt idx="100">
                  <c:v>131</c:v>
                </c:pt>
                <c:pt idx="101">
                  <c:v>130</c:v>
                </c:pt>
                <c:pt idx="102">
                  <c:v>130</c:v>
                </c:pt>
                <c:pt idx="103">
                  <c:v>130</c:v>
                </c:pt>
                <c:pt idx="104">
                  <c:v>130</c:v>
                </c:pt>
                <c:pt idx="105">
                  <c:v>131</c:v>
                </c:pt>
                <c:pt idx="106">
                  <c:v>133</c:v>
                </c:pt>
                <c:pt idx="107">
                  <c:v>135</c:v>
                </c:pt>
                <c:pt idx="108">
                  <c:v>137</c:v>
                </c:pt>
                <c:pt idx="109">
                  <c:v>140</c:v>
                </c:pt>
                <c:pt idx="110">
                  <c:v>143</c:v>
                </c:pt>
                <c:pt idx="111">
                  <c:v>146</c:v>
                </c:pt>
                <c:pt idx="112">
                  <c:v>150</c:v>
                </c:pt>
                <c:pt idx="113">
                  <c:v>153</c:v>
                </c:pt>
                <c:pt idx="114">
                  <c:v>157</c:v>
                </c:pt>
                <c:pt idx="115">
                  <c:v>161</c:v>
                </c:pt>
                <c:pt idx="116">
                  <c:v>164</c:v>
                </c:pt>
                <c:pt idx="117">
                  <c:v>168</c:v>
                </c:pt>
                <c:pt idx="118">
                  <c:v>172</c:v>
                </c:pt>
                <c:pt idx="119">
                  <c:v>176</c:v>
                </c:pt>
                <c:pt idx="120">
                  <c:v>180</c:v>
                </c:pt>
                <c:pt idx="121">
                  <c:v>185</c:v>
                </c:pt>
                <c:pt idx="122">
                  <c:v>190</c:v>
                </c:pt>
                <c:pt idx="123">
                  <c:v>195</c:v>
                </c:pt>
                <c:pt idx="124">
                  <c:v>201</c:v>
                </c:pt>
                <c:pt idx="125">
                  <c:v>208</c:v>
                </c:pt>
                <c:pt idx="126">
                  <c:v>215</c:v>
                </c:pt>
                <c:pt idx="127">
                  <c:v>223</c:v>
                </c:pt>
                <c:pt idx="128">
                  <c:v>233</c:v>
                </c:pt>
                <c:pt idx="129">
                  <c:v>243</c:v>
                </c:pt>
                <c:pt idx="130">
                  <c:v>254</c:v>
                </c:pt>
                <c:pt idx="131">
                  <c:v>267</c:v>
                </c:pt>
                <c:pt idx="132">
                  <c:v>281</c:v>
                </c:pt>
                <c:pt idx="133">
                  <c:v>296</c:v>
                </c:pt>
                <c:pt idx="134">
                  <c:v>312</c:v>
                </c:pt>
                <c:pt idx="135">
                  <c:v>330</c:v>
                </c:pt>
                <c:pt idx="136">
                  <c:v>348</c:v>
                </c:pt>
                <c:pt idx="137">
                  <c:v>366</c:v>
                </c:pt>
                <c:pt idx="138">
                  <c:v>383</c:v>
                </c:pt>
                <c:pt idx="139">
                  <c:v>400</c:v>
                </c:pt>
                <c:pt idx="140">
                  <c:v>416</c:v>
                </c:pt>
                <c:pt idx="141">
                  <c:v>430</c:v>
                </c:pt>
                <c:pt idx="142">
                  <c:v>442</c:v>
                </c:pt>
                <c:pt idx="143">
                  <c:v>452</c:v>
                </c:pt>
                <c:pt idx="144">
                  <c:v>459</c:v>
                </c:pt>
                <c:pt idx="145">
                  <c:v>463</c:v>
                </c:pt>
                <c:pt idx="146">
                  <c:v>464</c:v>
                </c:pt>
                <c:pt idx="147">
                  <c:v>462</c:v>
                </c:pt>
                <c:pt idx="148">
                  <c:v>457</c:v>
                </c:pt>
                <c:pt idx="149">
                  <c:v>449</c:v>
                </c:pt>
                <c:pt idx="150">
                  <c:v>440</c:v>
                </c:pt>
                <c:pt idx="151">
                  <c:v>429</c:v>
                </c:pt>
                <c:pt idx="152">
                  <c:v>417</c:v>
                </c:pt>
                <c:pt idx="153">
                  <c:v>406</c:v>
                </c:pt>
                <c:pt idx="154">
                  <c:v>396</c:v>
                </c:pt>
                <c:pt idx="155">
                  <c:v>387</c:v>
                </c:pt>
                <c:pt idx="156">
                  <c:v>379</c:v>
                </c:pt>
                <c:pt idx="157">
                  <c:v>373</c:v>
                </c:pt>
                <c:pt idx="158">
                  <c:v>369</c:v>
                </c:pt>
                <c:pt idx="159">
                  <c:v>365</c:v>
                </c:pt>
                <c:pt idx="160">
                  <c:v>362</c:v>
                </c:pt>
                <c:pt idx="161">
                  <c:v>359</c:v>
                </c:pt>
                <c:pt idx="162">
                  <c:v>356</c:v>
                </c:pt>
                <c:pt idx="163">
                  <c:v>354</c:v>
                </c:pt>
                <c:pt idx="164">
                  <c:v>352</c:v>
                </c:pt>
                <c:pt idx="165">
                  <c:v>351</c:v>
                </c:pt>
                <c:pt idx="166">
                  <c:v>350</c:v>
                </c:pt>
                <c:pt idx="167">
                  <c:v>350</c:v>
                </c:pt>
                <c:pt idx="168">
                  <c:v>351</c:v>
                </c:pt>
                <c:pt idx="169">
                  <c:v>352</c:v>
                </c:pt>
                <c:pt idx="170">
                  <c:v>355</c:v>
                </c:pt>
                <c:pt idx="171">
                  <c:v>358</c:v>
                </c:pt>
                <c:pt idx="172">
                  <c:v>361</c:v>
                </c:pt>
              </c:numCache>
            </c:numRef>
          </c:val>
          <c:smooth val="0"/>
        </c:ser>
        <c:dLbls>
          <c:showLegendKey val="0"/>
          <c:showVal val="0"/>
          <c:showCatName val="0"/>
          <c:showSerName val="0"/>
          <c:showPercent val="0"/>
          <c:showBubbleSize val="0"/>
        </c:dLbls>
        <c:marker val="1"/>
        <c:smooth val="0"/>
        <c:axId val="106313216"/>
        <c:axId val="106314752"/>
      </c:lineChart>
      <c:catAx>
        <c:axId val="106313216"/>
        <c:scaling>
          <c:orientation val="minMax"/>
        </c:scaling>
        <c:delete val="0"/>
        <c:axPos val="b"/>
        <c:majorTickMark val="none"/>
        <c:minorTickMark val="none"/>
        <c:tickLblPos val="nextTo"/>
        <c:txPr>
          <a:bodyPr/>
          <a:lstStyle/>
          <a:p>
            <a:pPr>
              <a:defRPr b="1"/>
            </a:pPr>
            <a:endParaRPr lang="en-US"/>
          </a:p>
        </c:txPr>
        <c:crossAx val="106314752"/>
        <c:crosses val="autoZero"/>
        <c:auto val="1"/>
        <c:lblAlgn val="ctr"/>
        <c:lblOffset val="100"/>
        <c:tickLblSkip val="8"/>
        <c:tickMarkSkip val="4"/>
        <c:noMultiLvlLbl val="0"/>
      </c:catAx>
      <c:valAx>
        <c:axId val="106314752"/>
        <c:scaling>
          <c:orientation val="minMax"/>
        </c:scaling>
        <c:delete val="0"/>
        <c:axPos val="l"/>
        <c:majorGridlines/>
        <c:title>
          <c:tx>
            <c:rich>
              <a:bodyPr/>
              <a:lstStyle/>
              <a:p>
                <a:pPr>
                  <a:defRPr/>
                </a:pPr>
                <a:r>
                  <a:rPr lang="en-US"/>
                  <a:t>Dollars Per Square Foot</a:t>
                </a:r>
              </a:p>
            </c:rich>
          </c:tx>
          <c:overlay val="0"/>
        </c:title>
        <c:numFmt formatCode="General" sourceLinked="1"/>
        <c:majorTickMark val="none"/>
        <c:minorTickMark val="none"/>
        <c:tickLblPos val="nextTo"/>
        <c:txPr>
          <a:bodyPr/>
          <a:lstStyle/>
          <a:p>
            <a:pPr>
              <a:defRPr sz="1200" b="1"/>
            </a:pPr>
            <a:endParaRPr lang="en-US"/>
          </a:p>
        </c:txPr>
        <c:crossAx val="106313216"/>
        <c:crosses val="autoZero"/>
        <c:crossBetween val="between"/>
      </c:valAx>
    </c:plotArea>
    <c:legend>
      <c:legendPos val="r"/>
      <c:layout>
        <c:manualLayout>
          <c:xMode val="edge"/>
          <c:yMode val="edge"/>
          <c:x val="0.19939387523791605"/>
          <c:y val="0.16498537229692514"/>
          <c:w val="0.49134987776418537"/>
          <c:h val="0.21916688403842838"/>
        </c:manualLayout>
      </c:layout>
      <c:overlay val="0"/>
      <c:txPr>
        <a:bodyPr/>
        <a:lstStyle/>
        <a:p>
          <a:pPr>
            <a:defRPr sz="1200" b="1"/>
          </a:pPr>
          <a:endParaRPr lang="en-US"/>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0.3537</cdr:x>
      <cdr:y>0.80744</cdr:y>
    </cdr:from>
    <cdr:to>
      <cdr:x>0.38907</cdr:x>
      <cdr:y>0.82848</cdr:y>
    </cdr:to>
    <cdr:cxnSp macro="">
      <cdr:nvCxnSpPr>
        <cdr:cNvPr id="10" name="Straight Arrow Connector 9"/>
        <cdr:cNvCxnSpPr/>
      </cdr:nvCxnSpPr>
      <cdr:spPr>
        <a:xfrm xmlns:a="http://schemas.openxmlformats.org/drawingml/2006/main" flipV="1">
          <a:off x="2095500" y="4752969"/>
          <a:ext cx="209550" cy="123847"/>
        </a:xfrm>
        <a:prstGeom xmlns:a="http://schemas.openxmlformats.org/drawingml/2006/main" prst="straightConnector1">
          <a:avLst/>
        </a:prstGeom>
        <a:ln xmlns:a="http://schemas.openxmlformats.org/drawingml/2006/main" w="19050">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0.38103</cdr:x>
      <cdr:y>0.83172</cdr:y>
    </cdr:from>
    <cdr:to>
      <cdr:x>0.42605</cdr:x>
      <cdr:y>0.84304</cdr:y>
    </cdr:to>
    <cdr:cxnSp macro="">
      <cdr:nvCxnSpPr>
        <cdr:cNvPr id="12" name="Straight Arrow Connector 11"/>
        <cdr:cNvCxnSpPr/>
      </cdr:nvCxnSpPr>
      <cdr:spPr>
        <a:xfrm xmlns:a="http://schemas.openxmlformats.org/drawingml/2006/main" flipV="1">
          <a:off x="2257425" y="4895844"/>
          <a:ext cx="266700" cy="66675"/>
        </a:xfrm>
        <a:prstGeom xmlns:a="http://schemas.openxmlformats.org/drawingml/2006/main" prst="straightConnector1">
          <a:avLst/>
        </a:prstGeom>
        <a:ln xmlns:a="http://schemas.openxmlformats.org/drawingml/2006/main" w="19050">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0.42444</cdr:x>
      <cdr:y>0.85437</cdr:y>
    </cdr:from>
    <cdr:to>
      <cdr:x>0.46141</cdr:x>
      <cdr:y>0.86569</cdr:y>
    </cdr:to>
    <cdr:cxnSp macro="">
      <cdr:nvCxnSpPr>
        <cdr:cNvPr id="14" name="Straight Arrow Connector 13"/>
        <cdr:cNvCxnSpPr/>
      </cdr:nvCxnSpPr>
      <cdr:spPr>
        <a:xfrm xmlns:a="http://schemas.openxmlformats.org/drawingml/2006/main" flipV="1">
          <a:off x="2514626" y="5029194"/>
          <a:ext cx="219049" cy="66661"/>
        </a:xfrm>
        <a:prstGeom xmlns:a="http://schemas.openxmlformats.org/drawingml/2006/main" prst="straightConnector1">
          <a:avLst/>
        </a:prstGeom>
        <a:ln xmlns:a="http://schemas.openxmlformats.org/drawingml/2006/main" w="19050">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0.60129</cdr:x>
      <cdr:y>0.71845</cdr:y>
    </cdr:from>
    <cdr:to>
      <cdr:x>0.62862</cdr:x>
      <cdr:y>0.74595</cdr:y>
    </cdr:to>
    <cdr:cxnSp macro="">
      <cdr:nvCxnSpPr>
        <cdr:cNvPr id="16" name="Straight Arrow Connector 15"/>
        <cdr:cNvCxnSpPr/>
      </cdr:nvCxnSpPr>
      <cdr:spPr>
        <a:xfrm xmlns:a="http://schemas.openxmlformats.org/drawingml/2006/main" flipV="1">
          <a:off x="3562350" y="4229095"/>
          <a:ext cx="161925" cy="161924"/>
        </a:xfrm>
        <a:prstGeom xmlns:a="http://schemas.openxmlformats.org/drawingml/2006/main" prst="straightConnector1">
          <a:avLst/>
        </a:prstGeom>
        <a:ln xmlns:a="http://schemas.openxmlformats.org/drawingml/2006/main" w="19050">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0.65273</cdr:x>
      <cdr:y>0.76376</cdr:y>
    </cdr:from>
    <cdr:to>
      <cdr:x>0.68006</cdr:x>
      <cdr:y>0.78479</cdr:y>
    </cdr:to>
    <cdr:cxnSp macro="">
      <cdr:nvCxnSpPr>
        <cdr:cNvPr id="20" name="Straight Arrow Connector 19"/>
        <cdr:cNvCxnSpPr/>
      </cdr:nvCxnSpPr>
      <cdr:spPr>
        <a:xfrm xmlns:a="http://schemas.openxmlformats.org/drawingml/2006/main" flipV="1">
          <a:off x="3867154" y="4495823"/>
          <a:ext cx="161918" cy="123792"/>
        </a:xfrm>
        <a:prstGeom xmlns:a="http://schemas.openxmlformats.org/drawingml/2006/main" prst="straightConnector1">
          <a:avLst/>
        </a:prstGeom>
        <a:ln xmlns:a="http://schemas.openxmlformats.org/drawingml/2006/main" w="19050">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0.71544</cdr:x>
      <cdr:y>0.82524</cdr:y>
    </cdr:from>
    <cdr:to>
      <cdr:x>0.74277</cdr:x>
      <cdr:y>0.84789</cdr:y>
    </cdr:to>
    <cdr:cxnSp macro="">
      <cdr:nvCxnSpPr>
        <cdr:cNvPr id="22" name="Straight Arrow Connector 21"/>
        <cdr:cNvCxnSpPr/>
      </cdr:nvCxnSpPr>
      <cdr:spPr>
        <a:xfrm xmlns:a="http://schemas.openxmlformats.org/drawingml/2006/main" flipV="1">
          <a:off x="4238645" y="4857744"/>
          <a:ext cx="161918" cy="133328"/>
        </a:xfrm>
        <a:prstGeom xmlns:a="http://schemas.openxmlformats.org/drawingml/2006/main" prst="straightConnector1">
          <a:avLst/>
        </a:prstGeom>
        <a:ln xmlns:a="http://schemas.openxmlformats.org/drawingml/2006/main" w="19050">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0.8746</cdr:x>
      <cdr:y>0.32686</cdr:y>
    </cdr:from>
    <cdr:to>
      <cdr:x>0.89872</cdr:x>
      <cdr:y>0.35761</cdr:y>
    </cdr:to>
    <cdr:cxnSp macro="">
      <cdr:nvCxnSpPr>
        <cdr:cNvPr id="24" name="Straight Arrow Connector 23"/>
        <cdr:cNvCxnSpPr/>
      </cdr:nvCxnSpPr>
      <cdr:spPr>
        <a:xfrm xmlns:a="http://schemas.openxmlformats.org/drawingml/2006/main" flipV="1">
          <a:off x="5181603" y="1924039"/>
          <a:ext cx="142900" cy="181008"/>
        </a:xfrm>
        <a:prstGeom xmlns:a="http://schemas.openxmlformats.org/drawingml/2006/main" prst="straightConnector1">
          <a:avLst/>
        </a:prstGeom>
        <a:ln xmlns:a="http://schemas.openxmlformats.org/drawingml/2006/main" w="19050">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0.90997</cdr:x>
      <cdr:y>0.60032</cdr:y>
    </cdr:from>
    <cdr:to>
      <cdr:x>0.93087</cdr:x>
      <cdr:y>0.61812</cdr:y>
    </cdr:to>
    <cdr:cxnSp macro="">
      <cdr:nvCxnSpPr>
        <cdr:cNvPr id="26" name="Straight Arrow Connector 25"/>
        <cdr:cNvCxnSpPr/>
      </cdr:nvCxnSpPr>
      <cdr:spPr>
        <a:xfrm xmlns:a="http://schemas.openxmlformats.org/drawingml/2006/main" flipV="1">
          <a:off x="5391173" y="3533772"/>
          <a:ext cx="123823" cy="104779"/>
        </a:xfrm>
        <a:prstGeom xmlns:a="http://schemas.openxmlformats.org/drawingml/2006/main" prst="straightConnector1">
          <a:avLst/>
        </a:prstGeom>
        <a:ln xmlns:a="http://schemas.openxmlformats.org/drawingml/2006/main" w="19050">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1567</Words>
  <Characters>8938</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Sklarz</dc:creator>
  <cp:lastModifiedBy>USD</cp:lastModifiedBy>
  <cp:revision>2</cp:revision>
  <dcterms:created xsi:type="dcterms:W3CDTF">2013-02-27T20:11:00Z</dcterms:created>
  <dcterms:modified xsi:type="dcterms:W3CDTF">2013-02-27T20:11:00Z</dcterms:modified>
</cp:coreProperties>
</file>