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76" w:rsidRDefault="00A54B76" w:rsidP="00A54B76">
      <w:pPr>
        <w:pStyle w:val="pgtitle"/>
        <w:keepLines w:val="0"/>
        <w:spacing w:after="0"/>
        <w:rPr>
          <w:rFonts w:eastAsia="MS Mincho"/>
        </w:rPr>
      </w:pPr>
      <w:bookmarkStart w:id="0" w:name="_GoBack"/>
      <w:bookmarkEnd w:id="0"/>
      <w:r>
        <w:rPr>
          <w:rFonts w:eastAsia="MS Mincho"/>
        </w:rPr>
        <w:t>The Economics of Green Retrofits</w:t>
      </w:r>
    </w:p>
    <w:p w:rsidR="00A54B76" w:rsidRPr="00C93610" w:rsidRDefault="00A54B76" w:rsidP="00A54B76">
      <w:pPr>
        <w:pStyle w:val="pgtitle"/>
        <w:keepLines w:val="0"/>
        <w:spacing w:after="0"/>
        <w:rPr>
          <w:rFonts w:eastAsia="MS Mincho"/>
        </w:rPr>
      </w:pPr>
    </w:p>
    <w:tbl>
      <w:tblPr>
        <w:tblW w:w="10170" w:type="dxa"/>
        <w:jc w:val="center"/>
        <w:tblInd w:w="-425" w:type="dxa"/>
        <w:tblLayout w:type="fixed"/>
        <w:tblCellMar>
          <w:left w:w="115" w:type="dxa"/>
          <w:right w:w="115" w:type="dxa"/>
        </w:tblCellMar>
        <w:tblLook w:val="0000" w:firstRow="0" w:lastRow="0" w:firstColumn="0" w:lastColumn="0" w:noHBand="0" w:noVBand="0"/>
      </w:tblPr>
      <w:tblGrid>
        <w:gridCol w:w="3735"/>
        <w:gridCol w:w="3285"/>
        <w:gridCol w:w="3150"/>
      </w:tblGrid>
      <w:tr w:rsidR="00A54B76" w:rsidRPr="00F8599C" w:rsidTr="00D34958">
        <w:trPr>
          <w:jc w:val="center"/>
        </w:trPr>
        <w:tc>
          <w:tcPr>
            <w:tcW w:w="3735" w:type="dxa"/>
          </w:tcPr>
          <w:p w:rsidR="00D34958" w:rsidRDefault="00D34958" w:rsidP="00D34958">
            <w:pPr>
              <w:pStyle w:val="nameblock"/>
              <w:spacing w:before="0" w:after="0"/>
              <w:rPr>
                <w:lang w:val="nl-NL"/>
              </w:rPr>
            </w:pPr>
          </w:p>
          <w:p w:rsidR="00A54B76" w:rsidRPr="00E134A1" w:rsidRDefault="00D34958" w:rsidP="00D34958">
            <w:pPr>
              <w:pStyle w:val="nameblock"/>
              <w:spacing w:before="0" w:after="0"/>
              <w:rPr>
                <w:lang w:val="nl-NL"/>
              </w:rPr>
            </w:pPr>
            <w:r>
              <w:rPr>
                <w:lang w:val="nl-NL"/>
              </w:rPr>
              <w:t>Nils Kok</w:t>
            </w:r>
            <w:r>
              <w:rPr>
                <w:lang w:val="nl-NL"/>
              </w:rPr>
              <w:br/>
              <w:t>Maastricht University</w:t>
            </w:r>
            <w:r w:rsidR="00A54B76" w:rsidRPr="00D562E9">
              <w:rPr>
                <w:lang w:val="nl-NL"/>
              </w:rPr>
              <w:br/>
              <w:t>n.kok@</w:t>
            </w:r>
            <w:r w:rsidR="00A54B76">
              <w:rPr>
                <w:lang w:val="nl-NL"/>
              </w:rPr>
              <w:t>maastrichtuniversity</w:t>
            </w:r>
            <w:r w:rsidR="00A54B76" w:rsidRPr="00D562E9">
              <w:rPr>
                <w:lang w:val="nl-NL"/>
              </w:rPr>
              <w:t>.nl</w:t>
            </w:r>
          </w:p>
        </w:tc>
        <w:tc>
          <w:tcPr>
            <w:tcW w:w="3285" w:type="dxa"/>
          </w:tcPr>
          <w:p w:rsidR="00D34958" w:rsidRDefault="00D34958" w:rsidP="00D34958">
            <w:pPr>
              <w:pStyle w:val="nameblock"/>
              <w:spacing w:before="0" w:after="0"/>
              <w:rPr>
                <w:lang w:val="nl-NL"/>
              </w:rPr>
            </w:pPr>
          </w:p>
          <w:p w:rsidR="00A54B76" w:rsidRDefault="00D34958" w:rsidP="00D34958">
            <w:pPr>
              <w:pStyle w:val="nameblock"/>
              <w:spacing w:before="0" w:after="0"/>
              <w:rPr>
                <w:lang w:val="nl-NL"/>
              </w:rPr>
            </w:pPr>
            <w:r>
              <w:rPr>
                <w:lang w:val="nl-NL"/>
              </w:rPr>
              <w:t>Norm G. Miller</w:t>
            </w:r>
          </w:p>
          <w:p w:rsidR="00D34958" w:rsidRDefault="00D34958" w:rsidP="00D34958">
            <w:pPr>
              <w:pStyle w:val="nameblock"/>
              <w:spacing w:before="0" w:after="0"/>
              <w:rPr>
                <w:lang w:val="nl-NL"/>
              </w:rPr>
            </w:pPr>
            <w:r>
              <w:rPr>
                <w:lang w:val="nl-NL"/>
              </w:rPr>
              <w:t>University of San Diego</w:t>
            </w:r>
          </w:p>
          <w:p w:rsidR="00D34958" w:rsidRPr="00D562E9" w:rsidRDefault="00D34958" w:rsidP="00D34958">
            <w:pPr>
              <w:pStyle w:val="nameblock"/>
              <w:spacing w:before="0" w:after="0"/>
              <w:rPr>
                <w:lang w:val="nl-NL"/>
              </w:rPr>
            </w:pPr>
            <w:r>
              <w:rPr>
                <w:lang w:val="nl-NL"/>
              </w:rPr>
              <w:t>nmiller@sandiego.edu</w:t>
            </w:r>
          </w:p>
        </w:tc>
        <w:tc>
          <w:tcPr>
            <w:tcW w:w="3150" w:type="dxa"/>
          </w:tcPr>
          <w:p w:rsidR="00D34958" w:rsidRDefault="00D34958" w:rsidP="00D34958">
            <w:pPr>
              <w:pStyle w:val="nameblock"/>
              <w:spacing w:before="0" w:after="0"/>
            </w:pPr>
          </w:p>
          <w:p w:rsidR="00A54B76" w:rsidRDefault="00D34958" w:rsidP="00D34958">
            <w:pPr>
              <w:pStyle w:val="nameblock"/>
              <w:spacing w:before="0" w:after="0"/>
            </w:pPr>
            <w:r>
              <w:t>Peter Morris</w:t>
            </w:r>
          </w:p>
          <w:p w:rsidR="00D34958" w:rsidRDefault="00D34958" w:rsidP="00D34958">
            <w:pPr>
              <w:pStyle w:val="nameblock"/>
              <w:spacing w:before="0" w:after="0"/>
            </w:pPr>
            <w:r>
              <w:t>Davis Langdon</w:t>
            </w:r>
          </w:p>
          <w:p w:rsidR="00D34958" w:rsidRPr="006E7CFE" w:rsidRDefault="00D34958" w:rsidP="00D34958">
            <w:pPr>
              <w:pStyle w:val="nameblock"/>
              <w:spacing w:before="0" w:after="0"/>
              <w:rPr>
                <w:lang w:val="sv-SE"/>
              </w:rPr>
            </w:pPr>
            <w:r>
              <w:t>pmorris@davislangdon.us</w:t>
            </w:r>
          </w:p>
        </w:tc>
      </w:tr>
    </w:tbl>
    <w:p w:rsidR="00A54B76" w:rsidRDefault="00A54B76" w:rsidP="00D34958">
      <w:pPr>
        <w:pStyle w:val="nameblock"/>
        <w:keepLines w:val="0"/>
        <w:spacing w:before="0" w:after="0"/>
        <w:rPr>
          <w:rFonts w:eastAsia="MS Mincho"/>
          <w:b/>
        </w:rPr>
      </w:pPr>
    </w:p>
    <w:p w:rsidR="00D34958" w:rsidRDefault="00D34958" w:rsidP="00D34958">
      <w:pPr>
        <w:pStyle w:val="nameblock"/>
        <w:keepLines w:val="0"/>
        <w:spacing w:before="0" w:after="0"/>
        <w:rPr>
          <w:rFonts w:eastAsia="MS Mincho"/>
          <w:b/>
        </w:rPr>
      </w:pPr>
    </w:p>
    <w:p w:rsidR="00D34958" w:rsidRDefault="00D34958" w:rsidP="00D34958">
      <w:pPr>
        <w:pStyle w:val="nameblock"/>
        <w:keepLines w:val="0"/>
        <w:spacing w:before="0" w:after="0"/>
        <w:rPr>
          <w:rFonts w:eastAsia="MS Mincho"/>
          <w:b/>
        </w:rPr>
      </w:pPr>
    </w:p>
    <w:p w:rsidR="00D34958" w:rsidRDefault="00D34958" w:rsidP="00D34958">
      <w:pPr>
        <w:pStyle w:val="nameblock"/>
        <w:keepLines w:val="0"/>
        <w:spacing w:before="0" w:after="0"/>
        <w:rPr>
          <w:rFonts w:eastAsia="MS Mincho"/>
          <w:b/>
        </w:rPr>
      </w:pPr>
    </w:p>
    <w:p w:rsidR="00A54B76" w:rsidRDefault="00A54B76" w:rsidP="00D34958">
      <w:pPr>
        <w:pStyle w:val="nameblock"/>
        <w:keepLines w:val="0"/>
        <w:spacing w:before="0" w:after="0"/>
        <w:rPr>
          <w:rFonts w:eastAsia="MS Mincho"/>
          <w:b/>
        </w:rPr>
      </w:pPr>
      <w:r w:rsidRPr="00726422">
        <w:rPr>
          <w:rFonts w:eastAsia="MS Mincho"/>
          <w:b/>
        </w:rPr>
        <w:t>Abstract</w:t>
      </w:r>
    </w:p>
    <w:p w:rsidR="00A54B76" w:rsidRPr="00726422" w:rsidRDefault="00A54B76" w:rsidP="00A54B76">
      <w:pPr>
        <w:pStyle w:val="nameblock"/>
        <w:keepLines w:val="0"/>
        <w:spacing w:before="0" w:after="0"/>
        <w:rPr>
          <w:rFonts w:eastAsia="MS Mincho"/>
          <w:b/>
        </w:rPr>
      </w:pPr>
    </w:p>
    <w:p w:rsidR="00D34958" w:rsidRDefault="00D34958" w:rsidP="00D34958">
      <w:pPr>
        <w:pStyle w:val="nameblock"/>
        <w:keepLines w:val="0"/>
        <w:spacing w:before="0" w:after="0"/>
        <w:ind w:firstLine="720"/>
        <w:jc w:val="both"/>
      </w:pPr>
      <w:r w:rsidRPr="001823D0">
        <w:t>This is the first study focused on the economics of green renovations. With existing building renovation surpassing new construction in recent years</w:t>
      </w:r>
      <w:r>
        <w:t>,</w:t>
      </w:r>
      <w:r w:rsidRPr="001823D0">
        <w:t xml:space="preserve"> we now have sufficient data to perform </w:t>
      </w:r>
      <w:r>
        <w:t>statistical</w:t>
      </w:r>
      <w:r w:rsidRPr="001823D0">
        <w:t xml:space="preserve"> analys</w:t>
      </w:r>
      <w:r>
        <w:t>e</w:t>
      </w:r>
      <w:r w:rsidRPr="001823D0">
        <w:t>s on the economic impacts of retrofitting existing building</w:t>
      </w:r>
      <w:r>
        <w:t>s</w:t>
      </w:r>
      <w:r w:rsidRPr="001823D0">
        <w:t xml:space="preserve"> Our findings are focused on LEED (Leadership in Energy and Environmental Design) buildings which </w:t>
      </w:r>
      <w:r>
        <w:t>beca</w:t>
      </w:r>
      <w:r w:rsidRPr="001823D0">
        <w:t xml:space="preserve">me certified </w:t>
      </w:r>
      <w:r>
        <w:t>under</w:t>
      </w:r>
      <w:r w:rsidRPr="001823D0">
        <w:t xml:space="preserve"> the “EBOM” (Existing Building: Operations and Maintenance) </w:t>
      </w:r>
      <w:r>
        <w:t>certification scheme</w:t>
      </w:r>
      <w:r w:rsidRPr="001823D0">
        <w:t xml:space="preserve"> </w:t>
      </w:r>
      <w:r>
        <w:t>during</w:t>
      </w:r>
      <w:r w:rsidRPr="001823D0">
        <w:t xml:space="preserve"> the 2005 – 2010</w:t>
      </w:r>
      <w:r>
        <w:t xml:space="preserve"> period</w:t>
      </w:r>
      <w:r w:rsidRPr="001823D0">
        <w:t>. We compare rents and occupancy rates</w:t>
      </w:r>
      <w:r>
        <w:t>,</w:t>
      </w:r>
      <w:r w:rsidRPr="001823D0">
        <w:t xml:space="preserve"> and investigate the types of improvements undertaken as well as the </w:t>
      </w:r>
      <w:r>
        <w:t>amount</w:t>
      </w:r>
      <w:r w:rsidRPr="001823D0">
        <w:t xml:space="preserve"> of investments required. We </w:t>
      </w:r>
      <w:r>
        <w:t>execute</w:t>
      </w:r>
      <w:r w:rsidRPr="001823D0">
        <w:t xml:space="preserve"> a survey among building owners on the typical improvements and attitudes towards the benefits and costs of upgrade investments. Our findings </w:t>
      </w:r>
      <w:r>
        <w:t>indicate</w:t>
      </w:r>
      <w:r w:rsidRPr="001823D0">
        <w:t xml:space="preserve"> that investments in “green” retrofits are incorporated by the market, which is consistent with past studies that mostly focused on new construction</w:t>
      </w:r>
      <w:r>
        <w:t>. The</w:t>
      </w:r>
      <w:r w:rsidRPr="001823D0">
        <w:t xml:space="preserve"> findings</w:t>
      </w:r>
      <w:r>
        <w:t xml:space="preserve"> </w:t>
      </w:r>
      <w:r w:rsidRPr="001823D0">
        <w:t>indicate</w:t>
      </w:r>
      <w:r>
        <w:t xml:space="preserve"> that, on average, investments in the sustainability of commercial buildings </w:t>
      </w:r>
      <w:r w:rsidRPr="001823D0">
        <w:t>are economically viable</w:t>
      </w:r>
      <w:r>
        <w:t xml:space="preserve">. </w:t>
      </w:r>
    </w:p>
    <w:p w:rsidR="00D34958" w:rsidRDefault="00D34958" w:rsidP="00D34958">
      <w:pPr>
        <w:pStyle w:val="nameblock"/>
        <w:keepLines w:val="0"/>
        <w:spacing w:before="0" w:after="0"/>
        <w:ind w:firstLine="720"/>
        <w:jc w:val="both"/>
        <w:rPr>
          <w:rFonts w:eastAsia="MS Mincho"/>
          <w:i/>
        </w:rPr>
      </w:pPr>
    </w:p>
    <w:p w:rsidR="00A54B76" w:rsidRDefault="00A54B76" w:rsidP="00A54B76">
      <w:pPr>
        <w:pStyle w:val="nameblock"/>
        <w:keepLines w:val="0"/>
        <w:spacing w:before="0" w:after="0"/>
        <w:jc w:val="both"/>
        <w:rPr>
          <w:rFonts w:eastAsia="MS Mincho"/>
          <w:i/>
        </w:rPr>
      </w:pPr>
      <w:r w:rsidRPr="00BF6474">
        <w:rPr>
          <w:rFonts w:eastAsia="MS Mincho"/>
          <w:i/>
        </w:rPr>
        <w:t>JEL codes: G51, M14, D92</w:t>
      </w:r>
    </w:p>
    <w:p w:rsidR="00A54B76" w:rsidRDefault="00A54B76" w:rsidP="00A54B76">
      <w:pPr>
        <w:pStyle w:val="nameblock"/>
        <w:keepLines w:val="0"/>
        <w:spacing w:before="0" w:after="0"/>
        <w:rPr>
          <w:rFonts w:eastAsia="MS Mincho"/>
        </w:rPr>
      </w:pPr>
    </w:p>
    <w:p w:rsidR="00A54B76" w:rsidRDefault="00A54B76" w:rsidP="00A54B76">
      <w:pPr>
        <w:pStyle w:val="nameblock"/>
        <w:keepLines w:val="0"/>
        <w:spacing w:before="0" w:after="0"/>
        <w:rPr>
          <w:rFonts w:eastAsia="MS Mincho"/>
        </w:rPr>
      </w:pPr>
    </w:p>
    <w:p w:rsidR="00A54B76" w:rsidRDefault="00A54B76" w:rsidP="00A54B76">
      <w:pPr>
        <w:pStyle w:val="nameblock"/>
        <w:keepLines w:val="0"/>
        <w:spacing w:before="0" w:after="0"/>
        <w:jc w:val="both"/>
        <w:rPr>
          <w:rFonts w:eastAsia="MS Mincho"/>
        </w:rPr>
      </w:pPr>
    </w:p>
    <w:p w:rsidR="00A54B76" w:rsidRDefault="00A54B76" w:rsidP="00A54B76">
      <w:pPr>
        <w:pStyle w:val="nameblock"/>
        <w:keepLines w:val="0"/>
        <w:spacing w:before="0" w:after="0"/>
        <w:jc w:val="both"/>
        <w:rPr>
          <w:rFonts w:eastAsia="MS Mincho"/>
        </w:rPr>
      </w:pPr>
    </w:p>
    <w:p w:rsidR="00A54B76" w:rsidRDefault="00A54B76" w:rsidP="00A54B76">
      <w:pPr>
        <w:pStyle w:val="nameblock"/>
        <w:keepLines w:val="0"/>
        <w:tabs>
          <w:tab w:val="left" w:pos="2482"/>
          <w:tab w:val="center" w:pos="4320"/>
        </w:tabs>
        <w:spacing w:before="0" w:after="0"/>
        <w:jc w:val="left"/>
        <w:rPr>
          <w:rFonts w:eastAsia="MS Mincho"/>
        </w:rPr>
      </w:pPr>
      <w:r>
        <w:rPr>
          <w:rFonts w:eastAsia="MS Mincho"/>
        </w:rPr>
        <w:tab/>
      </w:r>
      <w:r>
        <w:rPr>
          <w:rFonts w:eastAsia="MS Mincho"/>
        </w:rPr>
        <w:tab/>
      </w:r>
      <w:r w:rsidR="00D55D4E">
        <w:rPr>
          <w:rFonts w:eastAsia="MS Mincho"/>
        </w:rPr>
        <w:t>October 1,</w:t>
      </w:r>
      <w:r>
        <w:rPr>
          <w:rFonts w:eastAsia="MS Mincho"/>
        </w:rPr>
        <w:t xml:space="preserve"> </w:t>
      </w:r>
      <w:r w:rsidRPr="00C93610">
        <w:rPr>
          <w:rFonts w:eastAsia="MS Mincho"/>
        </w:rPr>
        <w:t>20</w:t>
      </w:r>
      <w:r>
        <w:rPr>
          <w:rFonts w:eastAsia="MS Mincho"/>
        </w:rPr>
        <w:t>1</w:t>
      </w:r>
      <w:r w:rsidR="00D34958">
        <w:rPr>
          <w:rFonts w:eastAsia="MS Mincho"/>
        </w:rPr>
        <w:t>2</w:t>
      </w:r>
    </w:p>
    <w:p w:rsidR="00A54B76" w:rsidRDefault="00A54B76" w:rsidP="00A54B76">
      <w:pPr>
        <w:pStyle w:val="nameblock"/>
        <w:keepLines w:val="0"/>
        <w:spacing w:before="0" w:after="0"/>
        <w:jc w:val="both"/>
        <w:rPr>
          <w:rFonts w:eastAsia="MS Mincho"/>
        </w:rPr>
      </w:pPr>
    </w:p>
    <w:p w:rsidR="00A54B76" w:rsidRDefault="00A54B76" w:rsidP="00A54B76">
      <w:pPr>
        <w:pStyle w:val="nameblock"/>
        <w:keepLines w:val="0"/>
        <w:spacing w:before="0" w:after="0"/>
        <w:jc w:val="both"/>
        <w:rPr>
          <w:rFonts w:eastAsia="MS Mincho"/>
        </w:rPr>
      </w:pPr>
    </w:p>
    <w:p w:rsidR="00A54B76" w:rsidRDefault="00A54B76" w:rsidP="00A54B76">
      <w:pPr>
        <w:pStyle w:val="nameblock"/>
        <w:keepLines w:val="0"/>
        <w:spacing w:before="0" w:after="0"/>
        <w:jc w:val="both"/>
        <w:rPr>
          <w:rFonts w:eastAsia="MS Mincho"/>
        </w:rPr>
      </w:pPr>
    </w:p>
    <w:p w:rsidR="00A54B76" w:rsidRDefault="00A54B76" w:rsidP="00A54B76">
      <w:pPr>
        <w:pStyle w:val="nameblock"/>
        <w:keepLines w:val="0"/>
        <w:spacing w:before="0" w:after="0"/>
        <w:jc w:val="both"/>
        <w:rPr>
          <w:rFonts w:eastAsia="MS Mincho"/>
        </w:rPr>
      </w:pPr>
    </w:p>
    <w:p w:rsidR="00D34958" w:rsidRDefault="00D34958" w:rsidP="00A54B76">
      <w:pPr>
        <w:pStyle w:val="nameblock"/>
        <w:keepLines w:val="0"/>
        <w:spacing w:before="0" w:after="0"/>
        <w:jc w:val="both"/>
        <w:rPr>
          <w:rFonts w:eastAsia="MS Mincho"/>
        </w:rPr>
      </w:pPr>
    </w:p>
    <w:p w:rsidR="00D34958" w:rsidRDefault="00D34958" w:rsidP="00A54B76">
      <w:pPr>
        <w:pStyle w:val="nameblock"/>
        <w:keepLines w:val="0"/>
        <w:spacing w:before="0" w:after="0"/>
        <w:jc w:val="both"/>
        <w:rPr>
          <w:rFonts w:eastAsia="MS Mincho"/>
        </w:rPr>
      </w:pPr>
    </w:p>
    <w:p w:rsidR="00D34958" w:rsidRDefault="00D34958" w:rsidP="00A54B76">
      <w:pPr>
        <w:pStyle w:val="nameblock"/>
        <w:keepLines w:val="0"/>
        <w:spacing w:before="0" w:after="0"/>
        <w:jc w:val="both"/>
        <w:rPr>
          <w:rFonts w:eastAsia="MS Mincho"/>
        </w:rPr>
      </w:pPr>
    </w:p>
    <w:p w:rsidR="00D34958" w:rsidRDefault="00D34958" w:rsidP="00A54B76">
      <w:pPr>
        <w:pStyle w:val="nameblock"/>
        <w:keepLines w:val="0"/>
        <w:spacing w:before="0" w:after="0"/>
        <w:jc w:val="both"/>
        <w:rPr>
          <w:rFonts w:eastAsia="MS Mincho"/>
        </w:rPr>
      </w:pPr>
    </w:p>
    <w:p w:rsidR="00A4045C" w:rsidRDefault="00A54B76" w:rsidP="00D34958">
      <w:pPr>
        <w:pStyle w:val="nameblock"/>
        <w:keepLines w:val="0"/>
        <w:spacing w:before="0" w:after="0"/>
        <w:jc w:val="both"/>
      </w:pPr>
      <w:r>
        <w:rPr>
          <w:rFonts w:eastAsia="MS Mincho"/>
        </w:rPr>
        <w:t>Kok is supported by a VENI grant from the Dutch Science Foundation (NWO). We are grateful for the comments of two anony</w:t>
      </w:r>
      <w:r w:rsidR="00D34958">
        <w:rPr>
          <w:rFonts w:eastAsia="MS Mincho"/>
        </w:rPr>
        <w:t>mous reviewers and</w:t>
      </w:r>
      <w:r>
        <w:rPr>
          <w:rFonts w:eastAsia="MS Mincho"/>
        </w:rPr>
        <w:t xml:space="preserve"> participants at the 201</w:t>
      </w:r>
      <w:r w:rsidR="009B7C02">
        <w:rPr>
          <w:rFonts w:eastAsia="MS Mincho"/>
        </w:rPr>
        <w:t>1</w:t>
      </w:r>
      <w:r>
        <w:rPr>
          <w:rFonts w:eastAsia="MS Mincho"/>
        </w:rPr>
        <w:t xml:space="preserve"> </w:t>
      </w:r>
      <w:r w:rsidR="009B7C02">
        <w:rPr>
          <w:rFonts w:eastAsia="MS Mincho"/>
        </w:rPr>
        <w:t xml:space="preserve">USGBC </w:t>
      </w:r>
      <w:r w:rsidR="00D34958">
        <w:rPr>
          <w:rFonts w:eastAsia="MS Mincho"/>
        </w:rPr>
        <w:t>Greenbuild Conference</w:t>
      </w:r>
      <w:r w:rsidR="009B7C02">
        <w:rPr>
          <w:rFonts w:eastAsia="MS Mincho"/>
        </w:rPr>
        <w:t xml:space="preserve"> in </w:t>
      </w:r>
      <w:r w:rsidR="00D34958">
        <w:rPr>
          <w:rFonts w:eastAsia="MS Mincho"/>
        </w:rPr>
        <w:t>Toronto</w:t>
      </w:r>
      <w:r w:rsidR="009B7C02">
        <w:rPr>
          <w:rFonts w:eastAsia="MS Mincho"/>
        </w:rPr>
        <w:t>, Canada</w:t>
      </w:r>
      <w:r w:rsidR="00D34958">
        <w:rPr>
          <w:rFonts w:eastAsia="MS Mincho"/>
        </w:rPr>
        <w:t>. Michael Schuerman</w:t>
      </w:r>
      <w:r>
        <w:rPr>
          <w:rFonts w:eastAsia="MS Mincho"/>
        </w:rPr>
        <w:t xml:space="preserve"> provided excellent research assistance.</w:t>
      </w:r>
      <w:r w:rsidR="00D34958">
        <w:t xml:space="preserve"> </w:t>
      </w:r>
    </w:p>
    <w:p w:rsidR="00C04F77" w:rsidRPr="001823D0" w:rsidRDefault="00C04F77" w:rsidP="000B135F">
      <w:pPr>
        <w:spacing w:line="360" w:lineRule="auto"/>
        <w:jc w:val="both"/>
        <w:rPr>
          <w:rFonts w:ascii="Times New Roman" w:hAnsi="Times New Roman"/>
        </w:rPr>
      </w:pPr>
    </w:p>
    <w:p w:rsidR="001E12C7" w:rsidRPr="00D34958" w:rsidRDefault="00D34958" w:rsidP="00D34958">
      <w:pPr>
        <w:numPr>
          <w:ilvl w:val="0"/>
          <w:numId w:val="5"/>
        </w:numPr>
        <w:spacing w:after="240" w:line="360" w:lineRule="auto"/>
        <w:rPr>
          <w:rFonts w:ascii="Times New Roman" w:hAnsi="Times New Roman"/>
          <w:b/>
        </w:rPr>
      </w:pPr>
      <w:r>
        <w:rPr>
          <w:rFonts w:ascii="Times New Roman" w:hAnsi="Times New Roman"/>
          <w:b/>
        </w:rPr>
        <w:br w:type="page"/>
      </w:r>
      <w:r w:rsidR="001E12C7" w:rsidRPr="001823D0">
        <w:rPr>
          <w:rFonts w:ascii="Times New Roman" w:hAnsi="Times New Roman"/>
          <w:b/>
        </w:rPr>
        <w:lastRenderedPageBreak/>
        <w:t>Introduction</w:t>
      </w:r>
    </w:p>
    <w:p w:rsidR="004B59D6" w:rsidRPr="001823D0" w:rsidRDefault="003131DA" w:rsidP="00C519F5">
      <w:pPr>
        <w:spacing w:line="360" w:lineRule="auto"/>
        <w:jc w:val="both"/>
        <w:rPr>
          <w:rFonts w:ascii="Times New Roman" w:hAnsi="Times New Roman"/>
        </w:rPr>
      </w:pPr>
      <w:r>
        <w:rPr>
          <w:rFonts w:ascii="Times New Roman" w:hAnsi="Times New Roman"/>
        </w:rPr>
        <w:tab/>
      </w:r>
      <w:r w:rsidR="002F5444">
        <w:rPr>
          <w:rFonts w:ascii="Times New Roman" w:hAnsi="Times New Roman"/>
        </w:rPr>
        <w:t>During the past</w:t>
      </w:r>
      <w:r w:rsidR="001E12C7" w:rsidRPr="001823D0">
        <w:rPr>
          <w:rFonts w:ascii="Times New Roman" w:hAnsi="Times New Roman"/>
        </w:rPr>
        <w:t xml:space="preserve"> </w:t>
      </w:r>
      <w:r>
        <w:rPr>
          <w:rFonts w:ascii="Times New Roman" w:hAnsi="Times New Roman"/>
        </w:rPr>
        <w:t xml:space="preserve">several </w:t>
      </w:r>
      <w:r w:rsidR="001E12C7" w:rsidRPr="001823D0">
        <w:rPr>
          <w:rFonts w:ascii="Times New Roman" w:hAnsi="Times New Roman"/>
        </w:rPr>
        <w:t>decades</w:t>
      </w:r>
      <w:r w:rsidR="002F5444">
        <w:rPr>
          <w:rFonts w:ascii="Times New Roman" w:hAnsi="Times New Roman"/>
        </w:rPr>
        <w:t>,</w:t>
      </w:r>
      <w:r w:rsidR="001E12C7" w:rsidRPr="001823D0">
        <w:rPr>
          <w:rFonts w:ascii="Times New Roman" w:hAnsi="Times New Roman"/>
        </w:rPr>
        <w:t xml:space="preserve"> </w:t>
      </w:r>
      <w:r w:rsidR="00D34958">
        <w:rPr>
          <w:rFonts w:ascii="Times New Roman" w:hAnsi="Times New Roman"/>
        </w:rPr>
        <w:t>the</w:t>
      </w:r>
      <w:r w:rsidR="001E12C7" w:rsidRPr="001823D0">
        <w:rPr>
          <w:rFonts w:ascii="Times New Roman" w:hAnsi="Times New Roman"/>
        </w:rPr>
        <w:t xml:space="preserve"> average new </w:t>
      </w:r>
      <w:r>
        <w:rPr>
          <w:rFonts w:ascii="Times New Roman" w:hAnsi="Times New Roman"/>
        </w:rPr>
        <w:t xml:space="preserve">annual </w:t>
      </w:r>
      <w:r w:rsidR="001E12C7" w:rsidRPr="001823D0">
        <w:rPr>
          <w:rFonts w:ascii="Times New Roman" w:hAnsi="Times New Roman"/>
        </w:rPr>
        <w:t>construction within the office market</w:t>
      </w:r>
      <w:r w:rsidR="00C313BE">
        <w:rPr>
          <w:rFonts w:ascii="Times New Roman" w:hAnsi="Times New Roman"/>
        </w:rPr>
        <w:t xml:space="preserve"> </w:t>
      </w:r>
      <w:r w:rsidR="00D34958">
        <w:rPr>
          <w:rFonts w:ascii="Times New Roman" w:hAnsi="Times New Roman"/>
        </w:rPr>
        <w:t>has been</w:t>
      </w:r>
      <w:r w:rsidR="001E12C7" w:rsidRPr="001823D0">
        <w:rPr>
          <w:rFonts w:ascii="Times New Roman" w:hAnsi="Times New Roman"/>
        </w:rPr>
        <w:t xml:space="preserve"> ab</w:t>
      </w:r>
      <w:r w:rsidR="002F5444">
        <w:rPr>
          <w:rFonts w:ascii="Times New Roman" w:hAnsi="Times New Roman"/>
        </w:rPr>
        <w:t>out 2.1 percent</w:t>
      </w:r>
      <w:r w:rsidR="001E12C7" w:rsidRPr="001823D0">
        <w:rPr>
          <w:rFonts w:ascii="Times New Roman" w:hAnsi="Times New Roman"/>
        </w:rPr>
        <w:t xml:space="preserve"> of </w:t>
      </w:r>
      <w:r w:rsidR="002F5444">
        <w:rPr>
          <w:rFonts w:ascii="Times New Roman" w:hAnsi="Times New Roman"/>
        </w:rPr>
        <w:t xml:space="preserve">the </w:t>
      </w:r>
      <w:r w:rsidR="001E12C7" w:rsidRPr="001823D0">
        <w:rPr>
          <w:rFonts w:ascii="Times New Roman" w:hAnsi="Times New Roman"/>
        </w:rPr>
        <w:t>existing stock.</w:t>
      </w:r>
      <w:r w:rsidR="001E12C7" w:rsidRPr="001823D0">
        <w:rPr>
          <w:rStyle w:val="FootnoteReference"/>
          <w:rFonts w:ascii="Times New Roman" w:hAnsi="Times New Roman"/>
        </w:rPr>
        <w:footnoteReference w:id="1"/>
      </w:r>
      <w:r w:rsidR="001E12C7" w:rsidRPr="001823D0">
        <w:rPr>
          <w:rFonts w:ascii="Times New Roman" w:hAnsi="Times New Roman"/>
        </w:rPr>
        <w:t xml:space="preserve">  If all of this new construction were</w:t>
      </w:r>
      <w:r w:rsidR="00D34958">
        <w:rPr>
          <w:rFonts w:ascii="Times New Roman" w:hAnsi="Times New Roman"/>
        </w:rPr>
        <w:t xml:space="preserve"> to be</w:t>
      </w:r>
      <w:r w:rsidR="001E12C7" w:rsidRPr="001823D0">
        <w:rPr>
          <w:rFonts w:ascii="Times New Roman" w:hAnsi="Times New Roman"/>
        </w:rPr>
        <w:t xml:space="preserve"> </w:t>
      </w:r>
      <w:r w:rsidR="002F5444">
        <w:rPr>
          <w:rFonts w:ascii="Times New Roman" w:hAnsi="Times New Roman"/>
        </w:rPr>
        <w:t>“</w:t>
      </w:r>
      <w:r w:rsidR="001E12C7" w:rsidRPr="001823D0">
        <w:rPr>
          <w:rFonts w:ascii="Times New Roman" w:hAnsi="Times New Roman"/>
        </w:rPr>
        <w:t>green</w:t>
      </w:r>
      <w:r w:rsidR="00D34958">
        <w:rPr>
          <w:rFonts w:ascii="Times New Roman" w:hAnsi="Times New Roman"/>
        </w:rPr>
        <w:t>,</w:t>
      </w:r>
      <w:r w:rsidR="002F5444">
        <w:rPr>
          <w:rFonts w:ascii="Times New Roman" w:hAnsi="Times New Roman"/>
        </w:rPr>
        <w:t>”</w:t>
      </w:r>
      <w:r w:rsidR="001E12C7" w:rsidRPr="001823D0">
        <w:rPr>
          <w:rFonts w:ascii="Times New Roman" w:hAnsi="Times New Roman"/>
        </w:rPr>
        <w:t xml:space="preserve"> </w:t>
      </w:r>
      <w:r>
        <w:rPr>
          <w:rFonts w:ascii="Times New Roman" w:hAnsi="Times New Roman"/>
        </w:rPr>
        <w:t>and if no renovation took place</w:t>
      </w:r>
      <w:r w:rsidR="00D34958">
        <w:rPr>
          <w:rFonts w:ascii="Times New Roman" w:hAnsi="Times New Roman"/>
        </w:rPr>
        <w:t>,</w:t>
      </w:r>
      <w:r>
        <w:rPr>
          <w:rFonts w:ascii="Times New Roman" w:hAnsi="Times New Roman"/>
        </w:rPr>
        <w:t xml:space="preserve"> </w:t>
      </w:r>
      <w:r w:rsidR="001E12C7" w:rsidRPr="001823D0">
        <w:rPr>
          <w:rFonts w:ascii="Times New Roman" w:hAnsi="Times New Roman"/>
        </w:rPr>
        <w:t xml:space="preserve">it would </w:t>
      </w:r>
      <w:r w:rsidR="00D34958">
        <w:rPr>
          <w:rFonts w:ascii="Times New Roman" w:hAnsi="Times New Roman"/>
        </w:rPr>
        <w:t xml:space="preserve">thus </w:t>
      </w:r>
      <w:r w:rsidR="001E12C7" w:rsidRPr="001823D0">
        <w:rPr>
          <w:rFonts w:ascii="Times New Roman" w:hAnsi="Times New Roman"/>
        </w:rPr>
        <w:t>take</w:t>
      </w:r>
      <w:r w:rsidR="00D03238" w:rsidRPr="001823D0">
        <w:rPr>
          <w:rFonts w:ascii="Times New Roman" w:hAnsi="Times New Roman"/>
        </w:rPr>
        <w:t xml:space="preserve"> </w:t>
      </w:r>
      <w:r>
        <w:rPr>
          <w:rFonts w:ascii="Times New Roman" w:hAnsi="Times New Roman"/>
        </w:rPr>
        <w:t>several decades</w:t>
      </w:r>
      <w:r w:rsidR="00D03238" w:rsidRPr="001823D0">
        <w:rPr>
          <w:rFonts w:ascii="Times New Roman" w:hAnsi="Times New Roman"/>
        </w:rPr>
        <w:t xml:space="preserve"> to </w:t>
      </w:r>
      <w:r w:rsidR="00D34958">
        <w:rPr>
          <w:rFonts w:ascii="Times New Roman" w:hAnsi="Times New Roman"/>
        </w:rPr>
        <w:t>improve the energy efficiency and sustainability performance of</w:t>
      </w:r>
      <w:r w:rsidR="00D03238" w:rsidRPr="001823D0">
        <w:rPr>
          <w:rFonts w:ascii="Times New Roman" w:hAnsi="Times New Roman"/>
        </w:rPr>
        <w:t xml:space="preserve"> the </w:t>
      </w:r>
      <w:r w:rsidR="00D34958">
        <w:rPr>
          <w:rFonts w:ascii="Times New Roman" w:hAnsi="Times New Roman"/>
        </w:rPr>
        <w:t xml:space="preserve">existing building </w:t>
      </w:r>
      <w:r w:rsidR="00D03238" w:rsidRPr="001823D0">
        <w:rPr>
          <w:rFonts w:ascii="Times New Roman" w:hAnsi="Times New Roman"/>
        </w:rPr>
        <w:t>stock.</w:t>
      </w:r>
    </w:p>
    <w:p w:rsidR="00E37266" w:rsidRDefault="0004004B" w:rsidP="00C519F5">
      <w:pPr>
        <w:spacing w:line="360" w:lineRule="auto"/>
        <w:ind w:firstLine="720"/>
        <w:jc w:val="both"/>
        <w:rPr>
          <w:rFonts w:ascii="Times New Roman" w:hAnsi="Times New Roman"/>
        </w:rPr>
      </w:pPr>
      <w:r w:rsidRPr="001823D0">
        <w:rPr>
          <w:rFonts w:ascii="Times New Roman" w:hAnsi="Times New Roman"/>
        </w:rPr>
        <w:t xml:space="preserve">To date there have been several studies focused on </w:t>
      </w:r>
      <w:r w:rsidR="00D34958">
        <w:rPr>
          <w:rFonts w:ascii="Times New Roman" w:hAnsi="Times New Roman"/>
        </w:rPr>
        <w:t xml:space="preserve">the sustainability of </w:t>
      </w:r>
      <w:r w:rsidRPr="001823D0">
        <w:rPr>
          <w:rFonts w:ascii="Times New Roman" w:hAnsi="Times New Roman"/>
        </w:rPr>
        <w:t xml:space="preserve">new office construction, </w:t>
      </w:r>
      <w:r w:rsidR="00D34958">
        <w:rPr>
          <w:rFonts w:ascii="Times New Roman" w:hAnsi="Times New Roman"/>
        </w:rPr>
        <w:t xml:space="preserve">as measured by the Leadership in Energy and Environmental Design (LEED) scheme, developed by the US Green Building Council. The certification scheme for </w:t>
      </w:r>
      <w:r w:rsidRPr="001823D0">
        <w:rPr>
          <w:rFonts w:ascii="Times New Roman" w:hAnsi="Times New Roman"/>
        </w:rPr>
        <w:t>E</w:t>
      </w:r>
      <w:r w:rsidR="00D34958">
        <w:rPr>
          <w:rFonts w:ascii="Times New Roman" w:hAnsi="Times New Roman"/>
        </w:rPr>
        <w:t xml:space="preserve">xisting </w:t>
      </w:r>
      <w:r w:rsidRPr="001823D0">
        <w:rPr>
          <w:rFonts w:ascii="Times New Roman" w:hAnsi="Times New Roman"/>
        </w:rPr>
        <w:t>B</w:t>
      </w:r>
      <w:r w:rsidR="00D34958">
        <w:rPr>
          <w:rFonts w:ascii="Times New Roman" w:hAnsi="Times New Roman"/>
        </w:rPr>
        <w:t>uildings (“EB</w:t>
      </w:r>
      <w:r w:rsidRPr="001823D0">
        <w:rPr>
          <w:rFonts w:ascii="Times New Roman" w:hAnsi="Times New Roman"/>
        </w:rPr>
        <w:t>OM</w:t>
      </w:r>
      <w:r w:rsidR="00D34958">
        <w:rPr>
          <w:rFonts w:ascii="Times New Roman" w:hAnsi="Times New Roman"/>
        </w:rPr>
        <w:t>”)</w:t>
      </w:r>
      <w:r w:rsidRPr="001823D0">
        <w:rPr>
          <w:rFonts w:ascii="Times New Roman" w:hAnsi="Times New Roman"/>
        </w:rPr>
        <w:t xml:space="preserve"> is of more recent vintage and with the dearth of new construction in the post-2007 commercial market </w:t>
      </w:r>
      <w:r w:rsidR="00E37266">
        <w:rPr>
          <w:rFonts w:ascii="Times New Roman" w:hAnsi="Times New Roman"/>
        </w:rPr>
        <w:t>downturn</w:t>
      </w:r>
      <w:r w:rsidRPr="001823D0">
        <w:rPr>
          <w:rFonts w:ascii="Times New Roman" w:hAnsi="Times New Roman"/>
        </w:rPr>
        <w:t xml:space="preserve">, </w:t>
      </w:r>
      <w:r w:rsidR="00E37266">
        <w:rPr>
          <w:rFonts w:ascii="Times New Roman" w:hAnsi="Times New Roman"/>
        </w:rPr>
        <w:t xml:space="preserve">certification of </w:t>
      </w:r>
      <w:r w:rsidRPr="001823D0">
        <w:rPr>
          <w:rFonts w:ascii="Times New Roman" w:hAnsi="Times New Roman"/>
        </w:rPr>
        <w:t xml:space="preserve">existing building renovations </w:t>
      </w:r>
      <w:r w:rsidR="00E37266">
        <w:rPr>
          <w:rFonts w:ascii="Times New Roman" w:hAnsi="Times New Roman"/>
        </w:rPr>
        <w:t>is</w:t>
      </w:r>
      <w:r w:rsidRPr="001823D0">
        <w:rPr>
          <w:rFonts w:ascii="Times New Roman" w:hAnsi="Times New Roman"/>
        </w:rPr>
        <w:t xml:space="preserve"> now surpassing new co</w:t>
      </w:r>
      <w:r w:rsidR="00E37266">
        <w:rPr>
          <w:rFonts w:ascii="Times New Roman" w:hAnsi="Times New Roman"/>
        </w:rPr>
        <w:t>nstruction certification rates.</w:t>
      </w:r>
      <w:r w:rsidRPr="001823D0">
        <w:rPr>
          <w:rFonts w:ascii="Times New Roman" w:hAnsi="Times New Roman"/>
        </w:rPr>
        <w:t xml:space="preserve"> </w:t>
      </w:r>
      <w:r w:rsidR="00AB3AC8">
        <w:rPr>
          <w:rFonts w:ascii="Times New Roman" w:hAnsi="Times New Roman"/>
        </w:rPr>
        <w:t>Exhibit</w:t>
      </w:r>
      <w:r w:rsidR="002F5444">
        <w:rPr>
          <w:rFonts w:ascii="Times New Roman" w:hAnsi="Times New Roman"/>
        </w:rPr>
        <w:t xml:space="preserve"> I provides some evidence </w:t>
      </w:r>
      <w:r w:rsidR="00863957">
        <w:rPr>
          <w:rFonts w:ascii="Times New Roman" w:hAnsi="Times New Roman"/>
        </w:rPr>
        <w:t>of</w:t>
      </w:r>
      <w:r w:rsidR="002F5444">
        <w:rPr>
          <w:rFonts w:ascii="Times New Roman" w:hAnsi="Times New Roman"/>
        </w:rPr>
        <w:t xml:space="preserve"> the growth of LEED-cer</w:t>
      </w:r>
      <w:r w:rsidR="00863957">
        <w:rPr>
          <w:rFonts w:ascii="Times New Roman" w:hAnsi="Times New Roman"/>
        </w:rPr>
        <w:t>tified space in the marketplace</w:t>
      </w:r>
      <w:r w:rsidR="002F5444">
        <w:rPr>
          <w:rFonts w:ascii="Times New Roman" w:hAnsi="Times New Roman"/>
        </w:rPr>
        <w:t xml:space="preserve"> and the role of </w:t>
      </w:r>
      <w:r w:rsidR="00C519F5">
        <w:rPr>
          <w:rFonts w:ascii="Times New Roman" w:hAnsi="Times New Roman"/>
        </w:rPr>
        <w:t xml:space="preserve">existing buildings therein. </w:t>
      </w:r>
      <w:r w:rsidR="00E37266">
        <w:rPr>
          <w:rFonts w:ascii="Times New Roman" w:hAnsi="Times New Roman"/>
        </w:rPr>
        <w:t xml:space="preserve">Quite clearly, there has been an explosive growth in LEED certification (see Panel A), with about ten percent of the US commercial office market certified at the end of 2010 (by square footage). Panel B shows that since 2009, LEED for Existing Buildings outpaces LEED for New Construction. </w:t>
      </w:r>
    </w:p>
    <w:p w:rsidR="00BE4614" w:rsidRPr="001823D0" w:rsidRDefault="00E37266" w:rsidP="00C519F5">
      <w:pPr>
        <w:spacing w:line="360" w:lineRule="auto"/>
        <w:ind w:firstLine="720"/>
        <w:jc w:val="both"/>
        <w:rPr>
          <w:rFonts w:ascii="Times New Roman" w:hAnsi="Times New Roman"/>
        </w:rPr>
      </w:pPr>
      <w:r>
        <w:rPr>
          <w:rFonts w:ascii="Times New Roman" w:hAnsi="Times New Roman"/>
        </w:rPr>
        <w:t xml:space="preserve">This is the first study to specifically address the economic implications of LEED certification (following a retrofit), extending the rapidly growing literature on the effects of “green” building in the marketplace. </w:t>
      </w:r>
      <w:r w:rsidR="00C519F5">
        <w:rPr>
          <w:rFonts w:ascii="Times New Roman" w:hAnsi="Times New Roman"/>
        </w:rPr>
        <w:t>The</w:t>
      </w:r>
      <w:r w:rsidR="00BE4614" w:rsidRPr="001823D0">
        <w:rPr>
          <w:rFonts w:ascii="Times New Roman" w:hAnsi="Times New Roman"/>
        </w:rPr>
        <w:t xml:space="preserve"> data</w:t>
      </w:r>
      <w:r w:rsidR="00C519F5">
        <w:rPr>
          <w:rFonts w:ascii="Times New Roman" w:hAnsi="Times New Roman"/>
        </w:rPr>
        <w:t xml:space="preserve"> in this study</w:t>
      </w:r>
      <w:r w:rsidR="00BE4614" w:rsidRPr="001823D0">
        <w:rPr>
          <w:rFonts w:ascii="Times New Roman" w:hAnsi="Times New Roman"/>
        </w:rPr>
        <w:t xml:space="preserve"> </w:t>
      </w:r>
      <w:r w:rsidR="00A74EC6" w:rsidRPr="001823D0">
        <w:rPr>
          <w:rFonts w:ascii="Times New Roman" w:hAnsi="Times New Roman"/>
        </w:rPr>
        <w:t xml:space="preserve">is from CoStar and includes 374 </w:t>
      </w:r>
      <w:r>
        <w:rPr>
          <w:rFonts w:ascii="Times New Roman" w:hAnsi="Times New Roman"/>
        </w:rPr>
        <w:t>LEED</w:t>
      </w:r>
      <w:r w:rsidR="00863957">
        <w:rPr>
          <w:rFonts w:ascii="Times New Roman" w:hAnsi="Times New Roman"/>
        </w:rPr>
        <w:t>-</w:t>
      </w:r>
      <w:r w:rsidR="00A74EC6" w:rsidRPr="001823D0">
        <w:rPr>
          <w:rFonts w:ascii="Times New Roman" w:hAnsi="Times New Roman"/>
        </w:rPr>
        <w:t>certified pro</w:t>
      </w:r>
      <w:r w:rsidR="00027BF3">
        <w:rPr>
          <w:rFonts w:ascii="Times New Roman" w:hAnsi="Times New Roman"/>
        </w:rPr>
        <w:t>perties (</w:t>
      </w:r>
      <w:r>
        <w:rPr>
          <w:rFonts w:ascii="Times New Roman" w:hAnsi="Times New Roman"/>
        </w:rPr>
        <w:t>“EBOM”</w:t>
      </w:r>
      <w:r w:rsidR="00027BF3">
        <w:rPr>
          <w:rFonts w:ascii="Times New Roman" w:hAnsi="Times New Roman"/>
        </w:rPr>
        <w:t xml:space="preserve">) and nearly 600 </w:t>
      </w:r>
      <w:r w:rsidR="00A74EC6" w:rsidRPr="001823D0">
        <w:rPr>
          <w:rFonts w:ascii="Times New Roman" w:hAnsi="Times New Roman"/>
        </w:rPr>
        <w:t>control properties for comparison p</w:t>
      </w:r>
      <w:r>
        <w:rPr>
          <w:rFonts w:ascii="Times New Roman" w:hAnsi="Times New Roman"/>
        </w:rPr>
        <w:t>urposes and empirical analysis.</w:t>
      </w:r>
      <w:r w:rsidR="00A74EC6" w:rsidRPr="001823D0">
        <w:rPr>
          <w:rFonts w:ascii="Times New Roman" w:hAnsi="Times New Roman"/>
        </w:rPr>
        <w:t xml:space="preserve"> We also include a modest survey on the benefits and costs of retrofits. Many of the buildings in our sample were in the process of renovating to become more sustainable </w:t>
      </w:r>
      <w:r w:rsidR="000732B7" w:rsidRPr="001823D0">
        <w:rPr>
          <w:rFonts w:ascii="Times New Roman" w:hAnsi="Times New Roman"/>
        </w:rPr>
        <w:t>at the time</w:t>
      </w:r>
      <w:r>
        <w:rPr>
          <w:rFonts w:ascii="Times New Roman" w:hAnsi="Times New Roman"/>
        </w:rPr>
        <w:t xml:space="preserve"> the EBOM system was published.</w:t>
      </w:r>
      <w:r w:rsidR="000732B7" w:rsidRPr="001823D0">
        <w:rPr>
          <w:rFonts w:ascii="Times New Roman" w:hAnsi="Times New Roman"/>
        </w:rPr>
        <w:t xml:space="preserve"> We identify the renovation period as generally starting in years 2005 through 2009 with certification received from 2008 through 2011.   </w:t>
      </w:r>
    </w:p>
    <w:p w:rsidR="00BE4614" w:rsidRPr="001823D0" w:rsidRDefault="00E37266" w:rsidP="00027BF3">
      <w:pPr>
        <w:spacing w:line="360" w:lineRule="auto"/>
        <w:ind w:firstLine="720"/>
        <w:jc w:val="both"/>
        <w:rPr>
          <w:rFonts w:ascii="Times New Roman" w:hAnsi="Times New Roman"/>
        </w:rPr>
      </w:pPr>
      <w:r>
        <w:rPr>
          <w:rFonts w:ascii="Times New Roman" w:hAnsi="Times New Roman"/>
        </w:rPr>
        <w:t>The results show that t</w:t>
      </w:r>
      <w:r w:rsidR="000732B7" w:rsidRPr="001823D0">
        <w:rPr>
          <w:rFonts w:ascii="Times New Roman" w:hAnsi="Times New Roman"/>
        </w:rPr>
        <w:t xml:space="preserve">he average rents on </w:t>
      </w:r>
      <w:r>
        <w:rPr>
          <w:rFonts w:ascii="Times New Roman" w:hAnsi="Times New Roman"/>
        </w:rPr>
        <w:t>the</w:t>
      </w:r>
      <w:r w:rsidR="000732B7" w:rsidRPr="001823D0">
        <w:rPr>
          <w:rFonts w:ascii="Times New Roman" w:hAnsi="Times New Roman"/>
        </w:rPr>
        <w:t xml:space="preserve"> </w:t>
      </w:r>
      <w:r>
        <w:rPr>
          <w:rFonts w:ascii="Times New Roman" w:hAnsi="Times New Roman"/>
        </w:rPr>
        <w:t>“</w:t>
      </w:r>
      <w:r w:rsidR="000732B7" w:rsidRPr="001823D0">
        <w:rPr>
          <w:rFonts w:ascii="Times New Roman" w:hAnsi="Times New Roman"/>
        </w:rPr>
        <w:t>EBOM</w:t>
      </w:r>
      <w:r>
        <w:rPr>
          <w:rFonts w:ascii="Times New Roman" w:hAnsi="Times New Roman"/>
        </w:rPr>
        <w:t>”</w:t>
      </w:r>
      <w:r w:rsidR="000732B7" w:rsidRPr="001823D0">
        <w:rPr>
          <w:rFonts w:ascii="Times New Roman" w:hAnsi="Times New Roman"/>
        </w:rPr>
        <w:t xml:space="preserve"> group</w:t>
      </w:r>
      <w:r>
        <w:rPr>
          <w:rFonts w:ascii="Times New Roman" w:hAnsi="Times New Roman"/>
        </w:rPr>
        <w:t xml:space="preserve"> of buildings</w:t>
      </w:r>
      <w:r w:rsidR="000732B7" w:rsidRPr="001823D0">
        <w:rPr>
          <w:rFonts w:ascii="Times New Roman" w:hAnsi="Times New Roman"/>
        </w:rPr>
        <w:t xml:space="preserve"> were below those of </w:t>
      </w:r>
      <w:r>
        <w:rPr>
          <w:rFonts w:ascii="Times New Roman" w:hAnsi="Times New Roman"/>
        </w:rPr>
        <w:t>the</w:t>
      </w:r>
      <w:r w:rsidR="000732B7" w:rsidRPr="001823D0">
        <w:rPr>
          <w:rFonts w:ascii="Times New Roman" w:hAnsi="Times New Roman"/>
        </w:rPr>
        <w:t xml:space="preserve"> control </w:t>
      </w:r>
      <w:r>
        <w:rPr>
          <w:rFonts w:ascii="Times New Roman" w:hAnsi="Times New Roman"/>
        </w:rPr>
        <w:t>buildings</w:t>
      </w:r>
      <w:r w:rsidR="000732B7" w:rsidRPr="001823D0">
        <w:rPr>
          <w:rFonts w:ascii="Times New Roman" w:hAnsi="Times New Roman"/>
        </w:rPr>
        <w:t xml:space="preserve"> prior to 2006, but have exceeded the average rents of the control </w:t>
      </w:r>
      <w:r>
        <w:rPr>
          <w:rFonts w:ascii="Times New Roman" w:hAnsi="Times New Roman"/>
        </w:rPr>
        <w:t xml:space="preserve">buildings since 2006. </w:t>
      </w:r>
      <w:r w:rsidR="000732B7" w:rsidRPr="001823D0">
        <w:rPr>
          <w:rFonts w:ascii="Times New Roman" w:hAnsi="Times New Roman"/>
        </w:rPr>
        <w:t xml:space="preserve">Vacancy </w:t>
      </w:r>
      <w:r>
        <w:rPr>
          <w:rFonts w:ascii="Times New Roman" w:hAnsi="Times New Roman"/>
        </w:rPr>
        <w:t xml:space="preserve">rates </w:t>
      </w:r>
      <w:r w:rsidR="000732B7" w:rsidRPr="001823D0">
        <w:rPr>
          <w:rFonts w:ascii="Times New Roman" w:hAnsi="Times New Roman"/>
        </w:rPr>
        <w:t xml:space="preserve">within </w:t>
      </w:r>
      <w:r>
        <w:rPr>
          <w:rFonts w:ascii="Times New Roman" w:hAnsi="Times New Roman"/>
        </w:rPr>
        <w:t>EBOM-certified buildings</w:t>
      </w:r>
      <w:r w:rsidR="000732B7" w:rsidRPr="001823D0">
        <w:rPr>
          <w:rFonts w:ascii="Times New Roman" w:hAnsi="Times New Roman"/>
        </w:rPr>
        <w:t xml:space="preserve"> </w:t>
      </w:r>
      <w:r>
        <w:rPr>
          <w:rFonts w:ascii="Times New Roman" w:hAnsi="Times New Roman"/>
        </w:rPr>
        <w:t>were</w:t>
      </w:r>
      <w:r w:rsidR="000732B7" w:rsidRPr="001823D0">
        <w:rPr>
          <w:rFonts w:ascii="Times New Roman" w:hAnsi="Times New Roman"/>
        </w:rPr>
        <w:t xml:space="preserve"> </w:t>
      </w:r>
      <w:r>
        <w:rPr>
          <w:rFonts w:ascii="Times New Roman" w:hAnsi="Times New Roman"/>
        </w:rPr>
        <w:t>seven</w:t>
      </w:r>
      <w:r w:rsidR="000732B7" w:rsidRPr="001823D0">
        <w:rPr>
          <w:rFonts w:ascii="Times New Roman" w:hAnsi="Times New Roman"/>
        </w:rPr>
        <w:t xml:space="preserve"> percent higher </w:t>
      </w:r>
      <w:r>
        <w:rPr>
          <w:rFonts w:ascii="Times New Roman" w:hAnsi="Times New Roman"/>
        </w:rPr>
        <w:t>than the control group in 2005.</w:t>
      </w:r>
      <w:r w:rsidR="000732B7" w:rsidRPr="001823D0">
        <w:rPr>
          <w:rFonts w:ascii="Times New Roman" w:hAnsi="Times New Roman"/>
        </w:rPr>
        <w:t xml:space="preserve"> Since 2005</w:t>
      </w:r>
      <w:r>
        <w:rPr>
          <w:rFonts w:ascii="Times New Roman" w:hAnsi="Times New Roman"/>
        </w:rPr>
        <w:t>,</w:t>
      </w:r>
      <w:r w:rsidR="000732B7" w:rsidRPr="001823D0">
        <w:rPr>
          <w:rFonts w:ascii="Times New Roman" w:hAnsi="Times New Roman"/>
        </w:rPr>
        <w:t xml:space="preserve"> the EBOM group has gained occupancy relative to the control </w:t>
      </w:r>
      <w:r>
        <w:rPr>
          <w:rFonts w:ascii="Times New Roman" w:hAnsi="Times New Roman"/>
        </w:rPr>
        <w:t>buildings,</w:t>
      </w:r>
      <w:r w:rsidR="000732B7" w:rsidRPr="001823D0">
        <w:rPr>
          <w:rFonts w:ascii="Times New Roman" w:hAnsi="Times New Roman"/>
        </w:rPr>
        <w:t xml:space="preserve"> but still lags slightly behind, primarily due to the soft</w:t>
      </w:r>
      <w:r>
        <w:rPr>
          <w:rFonts w:ascii="Times New Roman" w:hAnsi="Times New Roman"/>
        </w:rPr>
        <w:t xml:space="preserve"> real estate market since 2007.</w:t>
      </w:r>
      <w:r w:rsidR="000732B7" w:rsidRPr="001823D0">
        <w:rPr>
          <w:rFonts w:ascii="Times New Roman" w:hAnsi="Times New Roman"/>
        </w:rPr>
        <w:t xml:space="preserve"> </w:t>
      </w:r>
      <w:r>
        <w:rPr>
          <w:rFonts w:ascii="Times New Roman" w:hAnsi="Times New Roman"/>
        </w:rPr>
        <w:t>U</w:t>
      </w:r>
      <w:r w:rsidR="000732B7" w:rsidRPr="001823D0">
        <w:rPr>
          <w:rFonts w:ascii="Times New Roman" w:hAnsi="Times New Roman"/>
        </w:rPr>
        <w:t>s</w:t>
      </w:r>
      <w:r>
        <w:rPr>
          <w:rFonts w:ascii="Times New Roman" w:hAnsi="Times New Roman"/>
        </w:rPr>
        <w:t>ing a</w:t>
      </w:r>
      <w:r w:rsidR="000732B7" w:rsidRPr="001823D0">
        <w:rPr>
          <w:rFonts w:ascii="Times New Roman" w:hAnsi="Times New Roman"/>
        </w:rPr>
        <w:t xml:space="preserve"> regression analysis to control</w:t>
      </w:r>
      <w:r w:rsidR="00863957">
        <w:rPr>
          <w:rFonts w:ascii="Times New Roman" w:hAnsi="Times New Roman"/>
        </w:rPr>
        <w:t xml:space="preserve"> for class, age, location, size</w:t>
      </w:r>
      <w:r w:rsidR="000732B7" w:rsidRPr="001823D0">
        <w:rPr>
          <w:rFonts w:ascii="Times New Roman" w:hAnsi="Times New Roman"/>
        </w:rPr>
        <w:t xml:space="preserve"> and distance to transit</w:t>
      </w:r>
      <w:r>
        <w:rPr>
          <w:rFonts w:ascii="Times New Roman" w:hAnsi="Times New Roman"/>
        </w:rPr>
        <w:t>, we find a 7.1 percent</w:t>
      </w:r>
      <w:r w:rsidR="000732B7" w:rsidRPr="001823D0">
        <w:rPr>
          <w:rFonts w:ascii="Times New Roman" w:hAnsi="Times New Roman"/>
        </w:rPr>
        <w:t xml:space="preserve"> rental premium for LEED buildings versus non-LEED</w:t>
      </w:r>
      <w:r>
        <w:rPr>
          <w:rFonts w:ascii="Times New Roman" w:hAnsi="Times New Roman"/>
        </w:rPr>
        <w:t xml:space="preserve"> buildings.</w:t>
      </w:r>
      <w:r w:rsidR="000732B7" w:rsidRPr="001823D0">
        <w:rPr>
          <w:rFonts w:ascii="Times New Roman" w:hAnsi="Times New Roman"/>
        </w:rPr>
        <w:t xml:space="preserve"> When the Energy Star label is included we continue to find a significant premium for both Energy Star and LEED certification</w:t>
      </w:r>
      <w:r>
        <w:rPr>
          <w:rFonts w:ascii="Times New Roman" w:hAnsi="Times New Roman"/>
        </w:rPr>
        <w:t>. The quantitative results, in combination with the survey evidence, provide important information for building owners and investors. There seems to be a tangible financial effect from LEED certification, which outweighs the costs of a retrofit.</w:t>
      </w:r>
    </w:p>
    <w:p w:rsidR="00C04F77" w:rsidRPr="001823D0" w:rsidRDefault="00C04F77" w:rsidP="00027BF3">
      <w:pPr>
        <w:spacing w:line="360" w:lineRule="auto"/>
        <w:jc w:val="both"/>
        <w:rPr>
          <w:rFonts w:ascii="Times New Roman" w:hAnsi="Times New Roman"/>
        </w:rPr>
      </w:pPr>
    </w:p>
    <w:p w:rsidR="00913763" w:rsidRPr="00951AAC" w:rsidRDefault="004B59D6" w:rsidP="00951AAC">
      <w:pPr>
        <w:numPr>
          <w:ilvl w:val="0"/>
          <w:numId w:val="5"/>
        </w:numPr>
        <w:spacing w:after="240" w:line="360" w:lineRule="auto"/>
        <w:jc w:val="both"/>
        <w:rPr>
          <w:rFonts w:ascii="Times New Roman" w:hAnsi="Times New Roman"/>
          <w:b/>
        </w:rPr>
      </w:pPr>
      <w:r w:rsidRPr="001823D0">
        <w:rPr>
          <w:rFonts w:ascii="Times New Roman" w:hAnsi="Times New Roman"/>
          <w:b/>
        </w:rPr>
        <w:t>Literature Review</w:t>
      </w:r>
    </w:p>
    <w:p w:rsidR="00A1743E" w:rsidRDefault="000B135F" w:rsidP="00951AAC">
      <w:pPr>
        <w:pStyle w:val="Default"/>
        <w:spacing w:line="360" w:lineRule="auto"/>
        <w:jc w:val="both"/>
        <w:rPr>
          <w:rFonts w:ascii="Times New Roman" w:hAnsi="Times New Roman"/>
        </w:rPr>
      </w:pPr>
      <w:r>
        <w:rPr>
          <w:rFonts w:ascii="Times New Roman" w:hAnsi="Times New Roman" w:cs="Times New Roman"/>
        </w:rPr>
        <w:tab/>
      </w:r>
      <w:r w:rsidR="004B59D6" w:rsidRPr="001823D0">
        <w:rPr>
          <w:rFonts w:ascii="Times New Roman" w:hAnsi="Times New Roman" w:cs="Times New Roman"/>
        </w:rPr>
        <w:t xml:space="preserve">Prior published literature on the financial implications of “green” certification mostly focuses on </w:t>
      </w:r>
      <w:r w:rsidR="00913763" w:rsidRPr="001823D0">
        <w:rPr>
          <w:rFonts w:ascii="Times New Roman" w:hAnsi="Times New Roman" w:cs="Times New Roman"/>
        </w:rPr>
        <w:t>new construction with</w:t>
      </w:r>
      <w:r w:rsidR="008204FE">
        <w:rPr>
          <w:rFonts w:ascii="Times New Roman" w:hAnsi="Times New Roman" w:cs="Times New Roman"/>
        </w:rPr>
        <w:t>in</w:t>
      </w:r>
      <w:r w:rsidR="00913763" w:rsidRPr="001823D0">
        <w:rPr>
          <w:rFonts w:ascii="Times New Roman" w:hAnsi="Times New Roman" w:cs="Times New Roman"/>
        </w:rPr>
        <w:t xml:space="preserve"> </w:t>
      </w:r>
      <w:r w:rsidR="004B59D6" w:rsidRPr="001823D0">
        <w:rPr>
          <w:rFonts w:ascii="Times New Roman" w:hAnsi="Times New Roman" w:cs="Times New Roman"/>
        </w:rPr>
        <w:t>the U.S., and results generally indicate a positive relationship between environmental certification and financial outcomes in the marketplace.</w:t>
      </w:r>
      <w:r w:rsidR="00913763" w:rsidRPr="001823D0">
        <w:rPr>
          <w:rFonts w:ascii="Times New Roman" w:hAnsi="Times New Roman"/>
        </w:rPr>
        <w:t xml:space="preserve"> </w:t>
      </w:r>
      <w:r w:rsidR="004B59D6" w:rsidRPr="001823D0">
        <w:rPr>
          <w:rFonts w:ascii="Times New Roman" w:hAnsi="Times New Roman"/>
        </w:rPr>
        <w:t xml:space="preserve">Eichholtz, Kok and Quigley </w:t>
      </w:r>
      <w:r w:rsidR="004B59D6" w:rsidRPr="001823D0">
        <w:rPr>
          <w:rFonts w:ascii="Times New Roman" w:hAnsi="Times New Roman"/>
        </w:rPr>
        <w:fldChar w:fldCharType="begin"/>
      </w:r>
      <w:r w:rsidR="002E563C">
        <w:rPr>
          <w:rFonts w:ascii="Times New Roman" w:hAnsi="Times New Roman"/>
        </w:rPr>
        <w:instrText xml:space="preserve"> ADDIN EN.CITE &lt;EndNote&gt;&lt;Cite ExcludeAuth="1"&gt;&lt;Author&gt;Eichholtz&lt;/Author&gt;&lt;Year&gt;2010&lt;/Year&gt;&lt;RecNum&gt;288&lt;/RecNum&gt;&lt;DisplayText&gt;(2010)&lt;/DisplayText&gt;&lt;record&gt;&lt;rec-number&gt;288&lt;/rec-number&gt;&lt;foreign-keys&gt;&lt;key app="EN" db-id="f2ar0z95bxfes4exf9l5s2sftaat5efvvz9a"&gt;288&lt;/key&gt;&lt;/foreign-keys&gt;&lt;ref-type name="Journal Article"&gt;17&lt;/ref-type&gt;&lt;contributors&gt;&lt;authors&gt;&lt;author&gt;Eichholtz, Piet M.A.&lt;/author&gt;&lt;author&gt;Kok, Nils&lt;/author&gt;&lt;author&gt;Quigley, John M.&lt;/author&gt;&lt;/authors&gt;&lt;/contributors&gt;&lt;titles&gt;&lt;title&gt;Doing Well by Doing Good: Green Office Buildings&lt;/title&gt;&lt;secondary-title&gt;American Economic Review&lt;/secondary-title&gt;&lt;/titles&gt;&lt;pages&gt;2494–2511&lt;/pages&gt;&lt;volume&gt;100&lt;/volume&gt;&lt;number&gt;5&lt;/number&gt;&lt;dates&gt;&lt;year&gt;2010&lt;/year&gt;&lt;/dates&gt;&lt;urls&gt;&lt;/urls&gt;&lt;/record&gt;&lt;/Cite&gt;&lt;/EndNote&gt;</w:instrText>
      </w:r>
      <w:r w:rsidR="004B59D6" w:rsidRPr="001823D0">
        <w:rPr>
          <w:rFonts w:ascii="Times New Roman" w:hAnsi="Times New Roman"/>
        </w:rPr>
        <w:fldChar w:fldCharType="separate"/>
      </w:r>
      <w:r w:rsidR="002E563C">
        <w:rPr>
          <w:rFonts w:ascii="Times New Roman" w:hAnsi="Times New Roman"/>
          <w:noProof/>
        </w:rPr>
        <w:t>(</w:t>
      </w:r>
      <w:hyperlink w:anchor="_ENREF_2" w:tooltip="Eichholtz, 2010 #288" w:history="1">
        <w:r w:rsidR="00133E9A">
          <w:rPr>
            <w:rFonts w:ascii="Times New Roman" w:hAnsi="Times New Roman"/>
            <w:noProof/>
          </w:rPr>
          <w:t>2010</w:t>
        </w:r>
      </w:hyperlink>
      <w:r w:rsidR="002E563C">
        <w:rPr>
          <w:rFonts w:ascii="Times New Roman" w:hAnsi="Times New Roman"/>
          <w:noProof/>
        </w:rPr>
        <w:t>)</w:t>
      </w:r>
      <w:r w:rsidR="004B59D6" w:rsidRPr="001823D0">
        <w:rPr>
          <w:rFonts w:ascii="Times New Roman" w:hAnsi="Times New Roman"/>
        </w:rPr>
        <w:fldChar w:fldCharType="end"/>
      </w:r>
      <w:r w:rsidR="004B59D6" w:rsidRPr="001823D0">
        <w:rPr>
          <w:rFonts w:ascii="Times New Roman" w:hAnsi="Times New Roman"/>
        </w:rPr>
        <w:t xml:space="preserve"> document large and positive effects on market rents and selling </w:t>
      </w:r>
      <w:r w:rsidR="008204FE">
        <w:rPr>
          <w:rFonts w:ascii="Times New Roman" w:hAnsi="Times New Roman"/>
        </w:rPr>
        <w:t>prices following environmental</w:t>
      </w:r>
      <w:r w:rsidR="004B59D6" w:rsidRPr="001823D0">
        <w:rPr>
          <w:rFonts w:ascii="Times New Roman" w:hAnsi="Times New Roman"/>
        </w:rPr>
        <w:t xml:space="preserve"> certification of office buildings. Relative to a control sample of conventional office buildings, LEED or Energy </w:t>
      </w:r>
      <w:r w:rsidR="00863957">
        <w:rPr>
          <w:rFonts w:ascii="Times New Roman" w:hAnsi="Times New Roman"/>
        </w:rPr>
        <w:t>Star-</w:t>
      </w:r>
      <w:r w:rsidR="004B59D6" w:rsidRPr="00027BF3">
        <w:rPr>
          <w:rFonts w:ascii="Times New Roman" w:hAnsi="Times New Roman"/>
        </w:rPr>
        <w:t xml:space="preserve">labeled office buildings’ rents per square foot are about </w:t>
      </w:r>
      <w:r w:rsidR="00A1743E">
        <w:rPr>
          <w:rFonts w:ascii="Times New Roman" w:hAnsi="Times New Roman"/>
        </w:rPr>
        <w:t>two</w:t>
      </w:r>
      <w:r w:rsidR="004B59D6" w:rsidRPr="00027BF3">
        <w:rPr>
          <w:rFonts w:ascii="Times New Roman" w:hAnsi="Times New Roman"/>
        </w:rPr>
        <w:t xml:space="preserve"> percent higher, effective rents are about </w:t>
      </w:r>
      <w:r w:rsidR="00A1743E">
        <w:rPr>
          <w:rFonts w:ascii="Times New Roman" w:hAnsi="Times New Roman"/>
        </w:rPr>
        <w:t>six</w:t>
      </w:r>
      <w:r w:rsidR="004B59D6" w:rsidRPr="00027BF3">
        <w:rPr>
          <w:rFonts w:ascii="Times New Roman" w:hAnsi="Times New Roman"/>
        </w:rPr>
        <w:t xml:space="preserve"> percent higher, and premiums to selling prices per square foot are as high as 16 percent. Other studies </w:t>
      </w:r>
      <w:r w:rsidR="004B59D6" w:rsidRPr="00027BF3">
        <w:rPr>
          <w:rFonts w:ascii="Times New Roman" w:hAnsi="Times New Roman"/>
        </w:rPr>
        <w:fldChar w:fldCharType="begin"/>
      </w:r>
      <w:r w:rsidR="002E563C">
        <w:rPr>
          <w:rFonts w:ascii="Times New Roman" w:hAnsi="Times New Roman"/>
        </w:rPr>
        <w:instrText xml:space="preserve"> ADDIN EN.CITE &lt;EndNote&gt;&lt;Cite&gt;&lt;Author&gt;Fuerst&lt;/Author&gt;&lt;Year&gt;2011&lt;/Year&gt;&lt;RecNum&gt;285&lt;/RecNum&gt;&lt;DisplayText&gt;(Franz Fuerst and Patrick McAllister, 2011, Norm Miller et al., 2008)&lt;/DisplayText&gt;&lt;record&gt;&lt;rec-number&gt;285&lt;/rec-number&gt;&lt;foreign-keys&gt;&lt;key app="EN" db-id="f2ar0z95bxfes4exf9l5s2sftaat5efvvz9a"&gt;285&lt;/key&gt;&lt;/foreign-keys&gt;&lt;ref-type name="Journal Article"&gt;17&lt;/ref-type&gt;&lt;contributors&gt;&lt;authors&gt;&lt;author&gt;Fuerst, Franz&lt;/author&gt;&lt;author&gt;McAllister, Patrick&lt;/author&gt;&lt;/authors&gt;&lt;/contributors&gt;&lt;titles&gt;&lt;title&gt;Green Noise or Green Value? Measuring the Effects of Environmental Certification on Office Values&lt;/title&gt;&lt;secondary-title&gt;Real Estate Economics&lt;/secondary-title&gt;&lt;/titles&gt;&lt;pages&gt;45-69&lt;/pages&gt;&lt;volume&gt;39&lt;/volume&gt;&lt;number&gt;1&lt;/number&gt;&lt;dates&gt;&lt;year&gt;2011&lt;/year&gt;&lt;/dates&gt;&lt;work-type&gt;Working Paper&lt;/work-type&gt;&lt;urls&gt;&lt;/urls&gt;&lt;/record&gt;&lt;/Cite&gt;&lt;Cite&gt;&lt;Author&gt;Miller&lt;/Author&gt;&lt;Year&gt;2008&lt;/Year&gt;&lt;RecNum&gt;284&lt;/RecNum&gt;&lt;record&gt;&lt;rec-number&gt;284&lt;/rec-number&gt;&lt;foreign-keys&gt;&lt;key app="EN" db-id="f2ar0z95bxfes4exf9l5s2sftaat5efvvz9a"&gt;284&lt;/key&gt;&lt;/foreign-keys&gt;&lt;ref-type name="Journal Article"&gt;17&lt;/ref-type&gt;&lt;contributors&gt;&lt;authors&gt;&lt;author&gt;Miller, Norm&lt;/author&gt;&lt;author&gt;Spivey, Jay&lt;/author&gt;&lt;author&gt;Florance, Andy&lt;/author&gt;&lt;/authors&gt;&lt;/contributors&gt;&lt;titles&gt;&lt;title&gt;Does Green Pay Off?&lt;/title&gt;&lt;secondary-title&gt;Journal of Real Estate Portfolio Management&lt;/secondary-title&gt;&lt;/titles&gt;&lt;pages&gt;385-400&lt;/pages&gt;&lt;volume&gt;14&lt;/volume&gt;&lt;number&gt;4&lt;/number&gt;&lt;dates&gt;&lt;year&gt;2008&lt;/year&gt;&lt;/dates&gt;&lt;urls&gt;&lt;/urls&gt;&lt;/record&gt;&lt;/Cite&gt;&lt;/EndNote&gt;</w:instrText>
      </w:r>
      <w:r w:rsidR="004B59D6" w:rsidRPr="00027BF3">
        <w:rPr>
          <w:rFonts w:ascii="Times New Roman" w:hAnsi="Times New Roman"/>
        </w:rPr>
        <w:fldChar w:fldCharType="separate"/>
      </w:r>
      <w:r w:rsidR="002E563C">
        <w:rPr>
          <w:rFonts w:ascii="Times New Roman" w:hAnsi="Times New Roman"/>
          <w:noProof/>
        </w:rPr>
        <w:t>(</w:t>
      </w:r>
      <w:hyperlink w:anchor="_ENREF_6" w:tooltip="Fuerst, 2011 #285" w:history="1">
        <w:r w:rsidR="00133E9A">
          <w:rPr>
            <w:rFonts w:ascii="Times New Roman" w:hAnsi="Times New Roman"/>
            <w:noProof/>
          </w:rPr>
          <w:t>Franz Fuerst and Patrick McAllister, 2011</w:t>
        </w:r>
      </w:hyperlink>
      <w:r w:rsidR="002E563C">
        <w:rPr>
          <w:rFonts w:ascii="Times New Roman" w:hAnsi="Times New Roman"/>
          <w:noProof/>
        </w:rPr>
        <w:t xml:space="preserve">, </w:t>
      </w:r>
      <w:hyperlink w:anchor="_ENREF_10" w:tooltip="Miller, 2008 #284" w:history="1">
        <w:r w:rsidR="00133E9A">
          <w:rPr>
            <w:rFonts w:ascii="Times New Roman" w:hAnsi="Times New Roman"/>
            <w:noProof/>
          </w:rPr>
          <w:t>Norm Miller et al., 2008</w:t>
        </w:r>
      </w:hyperlink>
      <w:r w:rsidR="002E563C">
        <w:rPr>
          <w:rFonts w:ascii="Times New Roman" w:hAnsi="Times New Roman"/>
          <w:noProof/>
        </w:rPr>
        <w:t>)</w:t>
      </w:r>
      <w:r w:rsidR="004B59D6" w:rsidRPr="00027BF3">
        <w:rPr>
          <w:rFonts w:ascii="Times New Roman" w:hAnsi="Times New Roman"/>
        </w:rPr>
        <w:fldChar w:fldCharType="end"/>
      </w:r>
      <w:r w:rsidR="004B59D6" w:rsidRPr="00027BF3">
        <w:rPr>
          <w:rFonts w:ascii="Times New Roman" w:hAnsi="Times New Roman"/>
        </w:rPr>
        <w:t xml:space="preserve"> confirm these findings. </w:t>
      </w:r>
    </w:p>
    <w:p w:rsidR="00027BF3" w:rsidRPr="00951AAC" w:rsidRDefault="00A1743E" w:rsidP="00A1743E">
      <w:pPr>
        <w:pStyle w:val="Default"/>
        <w:spacing w:line="360" w:lineRule="auto"/>
        <w:ind w:firstLine="720"/>
        <w:jc w:val="both"/>
        <w:rPr>
          <w:rFonts w:ascii="Times New Roman" w:hAnsi="Times New Roman" w:cs="Times New Roman"/>
        </w:rPr>
      </w:pPr>
      <w:r>
        <w:rPr>
          <w:rFonts w:ascii="Times New Roman" w:hAnsi="Times New Roman"/>
        </w:rPr>
        <w:t>Importantly</w:t>
      </w:r>
      <w:r w:rsidR="004B59D6" w:rsidRPr="00027BF3">
        <w:rPr>
          <w:rFonts w:ascii="Times New Roman" w:hAnsi="Times New Roman"/>
        </w:rPr>
        <w:t xml:space="preserve">, these results appear robust over the course of the financial crisis, as Eichholtz, Kok and Quigley </w:t>
      </w:r>
      <w:r w:rsidR="004B59D6" w:rsidRPr="00027BF3">
        <w:rPr>
          <w:rFonts w:ascii="Times New Roman" w:hAnsi="Times New Roman"/>
        </w:rPr>
        <w:fldChar w:fldCharType="begin"/>
      </w:r>
      <w:r w:rsidR="004B59D6" w:rsidRPr="00027BF3">
        <w:rPr>
          <w:rFonts w:ascii="Times New Roman" w:hAnsi="Times New Roman"/>
        </w:rPr>
        <w:instrText xml:space="preserve"> ADDIN EN.CITE &lt;EndNote&gt;&lt;Cite ExcludeAuth="1"&gt;&lt;Author&gt;Eichholtz&lt;/Author&gt;&lt;Year&gt;2011&lt;/Year&gt;&lt;RecNum&gt;427&lt;/RecNum&gt;&lt;DisplayText&gt;(2011)&lt;/DisplayText&gt;&lt;record&gt;&lt;rec-number&gt;427&lt;/rec-number&gt;&lt;foreign-keys&gt;&lt;key app="EN" db-id="5apzwsxxnsxes8exre45d9pied9t0xvxe05w"&gt;427&lt;/key&gt;&lt;/foreign-keys&gt;&lt;ref-type name="Unpublished Work"&gt;34&lt;/ref-type&gt;&lt;contributors&gt;&lt;authors&gt;&lt;author&gt;Eichholtz, Piet M.A.&lt;/author&gt;&lt;author&gt;Kok, Nils&lt;/author&gt;&lt;author&gt;Quigley, John M.&lt;/author&gt;&lt;/authors&gt;&lt;/contributors&gt;&lt;titles&gt;&lt;title&gt;The Economics of Green Building&lt;/title&gt;&lt;secondary-title&gt;Working Paper&lt;/secondary-title&gt;&lt;/titles&gt;&lt;dates&gt;&lt;year&gt;2011&lt;/year&gt;&lt;/dates&gt;&lt;pub-location&gt;Berkeley&lt;/pub-location&gt;&lt;publisher&gt;Berkeley Program on Housing and Urban Policy&lt;/publisher&gt;&lt;urls&gt;&lt;/urls&gt;&lt;/record&gt;&lt;/Cite&gt;&lt;/EndNote&gt;</w:instrText>
      </w:r>
      <w:r w:rsidR="004B59D6" w:rsidRPr="00027BF3">
        <w:rPr>
          <w:rFonts w:ascii="Times New Roman" w:hAnsi="Times New Roman"/>
        </w:rPr>
        <w:fldChar w:fldCharType="separate"/>
      </w:r>
      <w:r w:rsidR="004B59D6" w:rsidRPr="00027BF3">
        <w:rPr>
          <w:rFonts w:ascii="Times New Roman" w:hAnsi="Times New Roman"/>
          <w:noProof/>
        </w:rPr>
        <w:t>(</w:t>
      </w:r>
      <w:hyperlink w:anchor="_ENREF_3" w:tooltip="Eichholtz, 2011 #427" w:history="1">
        <w:r w:rsidR="00133E9A" w:rsidRPr="00027BF3">
          <w:rPr>
            <w:rFonts w:ascii="Times New Roman" w:hAnsi="Times New Roman"/>
            <w:noProof/>
          </w:rPr>
          <w:t>2011</w:t>
        </w:r>
      </w:hyperlink>
      <w:r w:rsidR="004B59D6" w:rsidRPr="00027BF3">
        <w:rPr>
          <w:rFonts w:ascii="Times New Roman" w:hAnsi="Times New Roman"/>
          <w:noProof/>
        </w:rPr>
        <w:t>)</w:t>
      </w:r>
      <w:r w:rsidR="004B59D6" w:rsidRPr="00027BF3">
        <w:rPr>
          <w:rFonts w:ascii="Times New Roman" w:hAnsi="Times New Roman"/>
        </w:rPr>
        <w:fldChar w:fldCharType="end"/>
      </w:r>
      <w:r w:rsidR="004B59D6" w:rsidRPr="00027BF3">
        <w:rPr>
          <w:rFonts w:ascii="Times New Roman" w:hAnsi="Times New Roman"/>
        </w:rPr>
        <w:t xml:space="preserve"> document for a recent dataset of 3,000 green buildings that both energy efficiency and “greenness” of buildings are capitalized into rents and sales prices. Moreover, this effect is not dented by the recent downturn in property markets. </w:t>
      </w:r>
      <w:r w:rsidR="00027BF3" w:rsidRPr="00027BF3">
        <w:rPr>
          <w:rFonts w:ascii="Times New Roman" w:hAnsi="Times New Roman"/>
        </w:rPr>
        <w:t xml:space="preserve"> Other studies mention evidence suggesting positive economic benefits from faster absorption, higher occupancy rates, lower operating expenses, higher residual values as well as greater occupant productivity</w:t>
      </w:r>
      <w:r w:rsidR="002E563C">
        <w:rPr>
          <w:rFonts w:ascii="Times New Roman" w:hAnsi="Times New Roman"/>
        </w:rPr>
        <w:t xml:space="preserve"> </w:t>
      </w:r>
      <w:r w:rsidR="002E563C">
        <w:rPr>
          <w:rFonts w:ascii="Times New Roman" w:hAnsi="Times New Roman"/>
        </w:rPr>
        <w:fldChar w:fldCharType="begin">
          <w:fldData xml:space="preserve">PEVuZE5vdGU+PENpdGU+PEF1dGhvcj5DaGF1PC9BdXRob3I+PFllYXI+MjAxMDwvWWVhcj48UmVj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</w:fldData>
        </w:fldChar>
      </w:r>
      <w:r w:rsidR="002E563C">
        <w:rPr>
          <w:rFonts w:ascii="Times New Roman" w:hAnsi="Times New Roman"/>
        </w:rPr>
        <w:instrText xml:space="preserve"> ADDIN EN.CITE </w:instrText>
      </w:r>
      <w:r w:rsidR="002E563C">
        <w:rPr>
          <w:rFonts w:ascii="Times New Roman" w:hAnsi="Times New Roman"/>
        </w:rPr>
        <w:fldChar w:fldCharType="begin">
          <w:fldData xml:space="preserve">PEVuZE5vdGU+PENpdGU+PEF1dGhvcj5DaGF1PC9BdXRob3I+PFllYXI+MjAxMDwvWWVhcj48UmVj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</w:fldData>
        </w:fldChar>
      </w:r>
      <w:r w:rsidR="002E563C">
        <w:rPr>
          <w:rFonts w:ascii="Times New Roman" w:hAnsi="Times New Roman"/>
        </w:rPr>
        <w:instrText xml:space="preserve"> ADDIN EN.CITE.DATA </w:instrText>
      </w:r>
      <w:r w:rsidR="002E563C">
        <w:rPr>
          <w:rFonts w:ascii="Times New Roman" w:hAnsi="Times New Roman"/>
        </w:rPr>
      </w:r>
      <w:r w:rsidR="002E563C">
        <w:rPr>
          <w:rFonts w:ascii="Times New Roman" w:hAnsi="Times New Roman"/>
        </w:rPr>
        <w:fldChar w:fldCharType="end"/>
      </w:r>
      <w:r w:rsidR="002E563C">
        <w:rPr>
          <w:rFonts w:ascii="Times New Roman" w:hAnsi="Times New Roman"/>
        </w:rPr>
      </w:r>
      <w:r w:rsidR="002E563C">
        <w:rPr>
          <w:rFonts w:ascii="Times New Roman" w:hAnsi="Times New Roman"/>
        </w:rPr>
        <w:fldChar w:fldCharType="separate"/>
      </w:r>
      <w:r w:rsidR="002E563C">
        <w:rPr>
          <w:rFonts w:ascii="Times New Roman" w:hAnsi="Times New Roman"/>
          <w:noProof/>
        </w:rPr>
        <w:t>(</w:t>
      </w:r>
      <w:hyperlink w:anchor="_ENREF_1" w:tooltip="Chau, 2010 #635" w:history="1">
        <w:r w:rsidR="00133E9A">
          <w:rPr>
            <w:rFonts w:ascii="Times New Roman" w:hAnsi="Times New Roman"/>
            <w:noProof/>
          </w:rPr>
          <w:t>Chi-Kwan Chau et al., 2010</w:t>
        </w:r>
      </w:hyperlink>
      <w:r w:rsidR="002E563C">
        <w:rPr>
          <w:rFonts w:ascii="Times New Roman" w:hAnsi="Times New Roman"/>
          <w:noProof/>
        </w:rPr>
        <w:t xml:space="preserve">, </w:t>
      </w:r>
      <w:hyperlink w:anchor="_ENREF_5" w:tooltip="Fuerst, 2009 #440" w:history="1">
        <w:r w:rsidR="00133E9A">
          <w:rPr>
            <w:rFonts w:ascii="Times New Roman" w:hAnsi="Times New Roman"/>
            <w:noProof/>
          </w:rPr>
          <w:t>F. Fuerst and P. McAllister, 2009</w:t>
        </w:r>
      </w:hyperlink>
      <w:r w:rsidR="002E563C">
        <w:rPr>
          <w:rFonts w:ascii="Times New Roman" w:hAnsi="Times New Roman"/>
          <w:noProof/>
        </w:rPr>
        <w:t xml:space="preserve">, </w:t>
      </w:r>
      <w:hyperlink w:anchor="_ENREF_9" w:tooltip="Miller, 2009 #579" w:history="1">
        <w:r w:rsidR="00133E9A">
          <w:rPr>
            <w:rFonts w:ascii="Times New Roman" w:hAnsi="Times New Roman"/>
            <w:noProof/>
          </w:rPr>
          <w:t>Norm Miller et al., 2009</w:t>
        </w:r>
      </w:hyperlink>
      <w:r w:rsidR="002E563C">
        <w:rPr>
          <w:rFonts w:ascii="Times New Roman" w:hAnsi="Times New Roman"/>
          <w:noProof/>
        </w:rPr>
        <w:t>)</w:t>
      </w:r>
      <w:r w:rsidR="002E563C">
        <w:rPr>
          <w:rFonts w:ascii="Times New Roman" w:hAnsi="Times New Roman"/>
        </w:rPr>
        <w:fldChar w:fldCharType="end"/>
      </w:r>
      <w:r w:rsidR="002E563C">
        <w:rPr>
          <w:rFonts w:ascii="Times New Roman" w:hAnsi="Times New Roman"/>
        </w:rPr>
        <w:t xml:space="preserve">. </w:t>
      </w:r>
    </w:p>
    <w:p w:rsidR="002E563C" w:rsidRDefault="00913763" w:rsidP="00951AAC">
      <w:pPr>
        <w:spacing w:line="360" w:lineRule="auto"/>
        <w:jc w:val="both"/>
        <w:rPr>
          <w:rFonts w:ascii="Times New Roman" w:hAnsi="Times New Roman"/>
        </w:rPr>
      </w:pPr>
      <w:r w:rsidRPr="001823D0">
        <w:rPr>
          <w:rFonts w:ascii="Times New Roman" w:hAnsi="Times New Roman"/>
        </w:rPr>
        <w:tab/>
      </w:r>
      <w:r w:rsidR="004B59D6" w:rsidRPr="001823D0">
        <w:rPr>
          <w:rFonts w:ascii="Times New Roman" w:hAnsi="Times New Roman"/>
        </w:rPr>
        <w:t>To date, there are no academic studies investigating the market performance of “green”</w:t>
      </w:r>
      <w:r w:rsidR="002E563C">
        <w:rPr>
          <w:rFonts w:ascii="Times New Roman" w:hAnsi="Times New Roman"/>
        </w:rPr>
        <w:t xml:space="preserve"> renovations.</w:t>
      </w:r>
      <w:r w:rsidRPr="001823D0">
        <w:rPr>
          <w:rFonts w:ascii="Times New Roman" w:hAnsi="Times New Roman"/>
        </w:rPr>
        <w:t xml:space="preserve"> There are numerous case studies of single buildings which h</w:t>
      </w:r>
      <w:r w:rsidR="00863957">
        <w:rPr>
          <w:rFonts w:ascii="Times New Roman" w:hAnsi="Times New Roman"/>
        </w:rPr>
        <w:t>ave been retrofit</w:t>
      </w:r>
      <w:r w:rsidR="002E563C">
        <w:rPr>
          <w:rFonts w:ascii="Times New Roman" w:hAnsi="Times New Roman"/>
        </w:rPr>
        <w:t>ted</w:t>
      </w:r>
      <w:r w:rsidR="00863957">
        <w:rPr>
          <w:rFonts w:ascii="Times New Roman" w:hAnsi="Times New Roman"/>
        </w:rPr>
        <w:t xml:space="preserve"> for the owner-</w:t>
      </w:r>
      <w:r w:rsidRPr="001823D0">
        <w:rPr>
          <w:rFonts w:ascii="Times New Roman" w:hAnsi="Times New Roman"/>
        </w:rPr>
        <w:t>occupant</w:t>
      </w:r>
      <w:r w:rsidR="002E563C">
        <w:rPr>
          <w:rFonts w:ascii="Times New Roman" w:hAnsi="Times New Roman"/>
        </w:rPr>
        <w:t>,</w:t>
      </w:r>
      <w:r w:rsidRPr="001823D0">
        <w:rPr>
          <w:rFonts w:ascii="Times New Roman" w:hAnsi="Times New Roman"/>
        </w:rPr>
        <w:t xml:space="preserve"> but less so in the private rental market.</w:t>
      </w:r>
      <w:r w:rsidR="00951AAC">
        <w:rPr>
          <w:rStyle w:val="FootnoteReference"/>
          <w:rFonts w:ascii="Times New Roman" w:hAnsi="Times New Roman"/>
        </w:rPr>
        <w:footnoteReference w:id="2"/>
      </w:r>
      <w:r w:rsidRPr="001823D0">
        <w:rPr>
          <w:rFonts w:ascii="Times New Roman" w:hAnsi="Times New Roman"/>
        </w:rPr>
        <w:t xml:space="preserve"> </w:t>
      </w:r>
    </w:p>
    <w:p w:rsidR="00913763" w:rsidRPr="001823D0" w:rsidRDefault="00913763" w:rsidP="002E563C">
      <w:pPr>
        <w:spacing w:line="360" w:lineRule="auto"/>
        <w:ind w:firstLine="720"/>
        <w:jc w:val="both"/>
        <w:rPr>
          <w:rFonts w:ascii="Times New Roman" w:hAnsi="Times New Roman"/>
        </w:rPr>
      </w:pPr>
      <w:r w:rsidRPr="001823D0">
        <w:rPr>
          <w:rFonts w:ascii="Times New Roman" w:hAnsi="Times New Roman"/>
        </w:rPr>
        <w:t>Anecdotal evidence suggests that the move of tenants towards “green” real estate is due to enhanced reputation benefits, corporate social responsibility mandates and employee productivity</w:t>
      </w:r>
      <w:r w:rsidR="002E563C">
        <w:rPr>
          <w:rFonts w:ascii="Times New Roman" w:hAnsi="Times New Roman"/>
        </w:rPr>
        <w:t xml:space="preserve"> </w:t>
      </w:r>
      <w:r w:rsidR="002E563C">
        <w:rPr>
          <w:rFonts w:ascii="Times New Roman" w:hAnsi="Times New Roman"/>
        </w:rPr>
        <w:fldChar w:fldCharType="begin"/>
      </w:r>
      <w:r w:rsidR="002E563C">
        <w:rPr>
          <w:rFonts w:ascii="Times New Roman" w:hAnsi="Times New Roman"/>
        </w:rPr>
        <w:instrText xml:space="preserve"> ADDIN EN.CITE &lt;EndNote&gt;&lt;Cite&gt;&lt;Author&gt;Nelson&lt;/Author&gt;&lt;Year&gt;2010&lt;/Year&gt;&lt;RecNum&gt;580&lt;/RecNum&gt;&lt;DisplayText&gt;(Andrew Nelson and A. J. Rakau, 2010)&lt;/DisplayText&gt;&lt;record&gt;&lt;rec-number&gt;580&lt;/rec-number&gt;&lt;foreign-keys&gt;&lt;key app="EN" db-id="f2ar0z95bxfes4exf9l5s2sftaat5efvvz9a"&gt;580&lt;/key&gt;&lt;/foreign-keys&gt;&lt;ref-type name="Report"&gt;27&lt;/ref-type&gt;&lt;contributors&gt;&lt;authors&gt;&lt;author&gt;Nelson, Andrew&lt;/author&gt;&lt;author&gt;Rakau, A. J.&lt;/author&gt;&lt;/authors&gt;&lt;/contributors&gt;&lt;titles&gt;&lt;title&gt;Green Buildings: A Niche Becomes Mainstream&lt;/title&gt;&lt;/titles&gt;&lt;dates&gt;&lt;year&gt;2010&lt;/year&gt;&lt;/dates&gt;&lt;publisher&gt;Deutsche Bank Research&lt;/publisher&gt;&lt;urls&gt;&lt;/urls&gt;&lt;/record&gt;&lt;/Cite&gt;&lt;/EndNote&gt;</w:instrText>
      </w:r>
      <w:r w:rsidR="002E563C">
        <w:rPr>
          <w:rFonts w:ascii="Times New Roman" w:hAnsi="Times New Roman"/>
        </w:rPr>
        <w:fldChar w:fldCharType="separate"/>
      </w:r>
      <w:r w:rsidR="002E563C">
        <w:rPr>
          <w:rFonts w:ascii="Times New Roman" w:hAnsi="Times New Roman"/>
          <w:noProof/>
        </w:rPr>
        <w:t>(</w:t>
      </w:r>
      <w:hyperlink w:anchor="_ENREF_11" w:tooltip="Nelson, 2010 #580" w:history="1">
        <w:r w:rsidR="00133E9A">
          <w:rPr>
            <w:rFonts w:ascii="Times New Roman" w:hAnsi="Times New Roman"/>
            <w:noProof/>
          </w:rPr>
          <w:t>Andrew Nelson and A. J. Rakau, 2010</w:t>
        </w:r>
      </w:hyperlink>
      <w:r w:rsidR="002E563C">
        <w:rPr>
          <w:rFonts w:ascii="Times New Roman" w:hAnsi="Times New Roman"/>
          <w:noProof/>
        </w:rPr>
        <w:t>)</w:t>
      </w:r>
      <w:r w:rsidR="002E563C">
        <w:rPr>
          <w:rFonts w:ascii="Times New Roman" w:hAnsi="Times New Roman"/>
        </w:rPr>
        <w:fldChar w:fldCharType="end"/>
      </w:r>
      <w:r w:rsidRPr="001823D0">
        <w:rPr>
          <w:rFonts w:ascii="Times New Roman" w:hAnsi="Times New Roman"/>
        </w:rPr>
        <w:t xml:space="preserve">. Such a shift in tenant preferences suggests that tenants are using the buildings that they occupy to communicate their corporate vision to shareholders and employees. The literature on corporate social responsibility (CSR) has </w:t>
      </w:r>
      <w:r w:rsidR="002643D1" w:rsidRPr="001823D0">
        <w:rPr>
          <w:rFonts w:ascii="Times New Roman" w:hAnsi="Times New Roman"/>
        </w:rPr>
        <w:t xml:space="preserve">generally </w:t>
      </w:r>
      <w:r w:rsidRPr="001823D0">
        <w:rPr>
          <w:rFonts w:ascii="Times New Roman" w:hAnsi="Times New Roman"/>
        </w:rPr>
        <w:t xml:space="preserve">investigated this link between corporate social performance, reputation benefits and employer attractiveness </w:t>
      </w:r>
      <w:r w:rsidRPr="001823D0">
        <w:rPr>
          <w:rFonts w:ascii="Times New Roman" w:hAnsi="Times New Roman"/>
        </w:rPr>
        <w:fldChar w:fldCharType="begin"/>
      </w:r>
      <w:r w:rsidR="002E563C">
        <w:rPr>
          <w:rFonts w:ascii="Times New Roman" w:hAnsi="Times New Roman"/>
        </w:rPr>
        <w:instrText xml:space="preserve"> ADDIN EN.CITE &lt;EndNote&gt;&lt;Cite&gt;&lt;Author&gt;Turban&lt;/Author&gt;&lt;Year&gt;1997&lt;/Year&gt;&lt;RecNum&gt;175&lt;/RecNum&gt;&lt;DisplayText&gt;(J.D. Margolis and J.P. Walsh, 2003, D.B. Turban and D.W. Greening, 1997)&lt;/DisplayText&gt;&lt;record&gt;&lt;rec-number&gt;175&lt;/rec-number&gt;&lt;foreign-keys&gt;&lt;key app="EN" db-id="f2ar0z95bxfes4exf9l5s2sftaat5efvvz9a"&gt;175&lt;/key&gt;&lt;/foreign-keys&gt;&lt;ref-type name="Journal Article"&gt;17&lt;/ref-type&gt;&lt;contributors&gt;&lt;authors&gt;&lt;author&gt;Turban, D.B.&lt;/author&gt;&lt;author&gt;Greening, D.W.&lt;/author&gt;&lt;/authors&gt;&lt;/contributors&gt;&lt;titles&gt;&lt;title&gt;Corporate Social Performance and Organizational Attractiveness to Prospective Employees&lt;/title&gt;&lt;secondary-title&gt;Academy of Management Journal&lt;/secondary-title&gt;&lt;/titles&gt;&lt;pages&gt;658-672&lt;/pages&gt;&lt;volume&gt;40&lt;/volume&gt;&lt;number&gt;3&lt;/number&gt;&lt;dates&gt;&lt;year&gt;1997&lt;/year&gt;&lt;/dates&gt;&lt;publisher&gt;Academy of Management&lt;/publisher&gt;&lt;urls&gt;&lt;related-urls&gt;&lt;url&gt;&lt;style face="underline" font="default" size="100%"&gt;http://links.jstor.org/sici?sici=0001-4273%28199706%2940%3A3%3C658%3ACSPAOA%3E2.0.CO%3B2-X &lt;/style&gt;&lt;/url&gt;&lt;/related-urls&gt;&lt;/urls&gt;&lt;/record&gt;&lt;/Cite&gt;&lt;Cite&gt;&lt;Author&gt;Margolis&lt;/Author&gt;&lt;Year&gt;2003&lt;/Year&gt;&lt;RecNum&gt;173&lt;/RecNum&gt;&lt;record&gt;&lt;rec-number&gt;173&lt;/rec-number&gt;&lt;foreign-keys&gt;&lt;key app="EN" db-id="f2ar0z95bxfes4exf9l5s2sftaat5efvvz9a"&gt;173&lt;/key&gt;&lt;/foreign-keys&gt;&lt;ref-type name="Journal Article"&gt;17&lt;/ref-type&gt;&lt;contributors&gt;&lt;authors&gt;&lt;author&gt;Margolis, J.D.&lt;/author&gt;&lt;author&gt;Walsh, J.P.&lt;/author&gt;&lt;/authors&gt;&lt;/contributors&gt;&lt;titles&gt;&lt;title&gt;Misery Loves Company: Rethinking Social Initiatives by Business&lt;/title&gt;&lt;secondary-title&gt;Administrative Science Quarterly&lt;/secondary-title&gt;&lt;/titles&gt;&lt;pages&gt;268-305&lt;/pages&gt;&lt;volume&gt;48&lt;/volume&gt;&lt;number&gt;2&lt;/number&gt;&lt;dates&gt;&lt;year&gt;2003&lt;/year&gt;&lt;/dates&gt;&lt;publisher&gt;Johnson Graduate School of Management, Cornell University&lt;/publisher&gt;&lt;urls&gt;&lt;related-urls&gt;&lt;url&gt;http://links.jstor.org/sici?sici=0001-8392%28200306%2948%3A2%3C268%3AMLCRSI%3E2.0.CO%3B2-1 &lt;/url&gt;&lt;/related-urls&gt;&lt;/urls&gt;&lt;/record&gt;&lt;/Cite&gt;&lt;/EndNote&gt;</w:instrText>
      </w:r>
      <w:r w:rsidRPr="001823D0">
        <w:rPr>
          <w:rFonts w:ascii="Times New Roman" w:hAnsi="Times New Roman"/>
        </w:rPr>
        <w:fldChar w:fldCharType="separate"/>
      </w:r>
      <w:r w:rsidR="002E563C">
        <w:rPr>
          <w:rFonts w:ascii="Times New Roman" w:hAnsi="Times New Roman"/>
          <w:noProof/>
        </w:rPr>
        <w:t>(</w:t>
      </w:r>
      <w:hyperlink w:anchor="_ENREF_8" w:tooltip="Margolis, 2003 #173" w:history="1">
        <w:r w:rsidR="00133E9A">
          <w:rPr>
            <w:rFonts w:ascii="Times New Roman" w:hAnsi="Times New Roman"/>
            <w:noProof/>
          </w:rPr>
          <w:t>J.D. Margolis and J.P. Walsh, 2003</w:t>
        </w:r>
      </w:hyperlink>
      <w:r w:rsidR="002E563C">
        <w:rPr>
          <w:rFonts w:ascii="Times New Roman" w:hAnsi="Times New Roman"/>
          <w:noProof/>
        </w:rPr>
        <w:t xml:space="preserve">, </w:t>
      </w:r>
      <w:hyperlink w:anchor="_ENREF_15" w:tooltip="Turban, 1997 #175" w:history="1">
        <w:r w:rsidR="00133E9A">
          <w:rPr>
            <w:rFonts w:ascii="Times New Roman" w:hAnsi="Times New Roman"/>
            <w:noProof/>
          </w:rPr>
          <w:t>D.B. Turban and D.W. Greening, 1997</w:t>
        </w:r>
      </w:hyperlink>
      <w:r w:rsidR="002E563C">
        <w:rPr>
          <w:rFonts w:ascii="Times New Roman" w:hAnsi="Times New Roman"/>
          <w:noProof/>
        </w:rPr>
        <w:t>)</w:t>
      </w:r>
      <w:r w:rsidRPr="001823D0">
        <w:rPr>
          <w:rFonts w:ascii="Times New Roman" w:hAnsi="Times New Roman"/>
        </w:rPr>
        <w:fldChar w:fldCharType="end"/>
      </w:r>
      <w:r w:rsidR="002E563C">
        <w:rPr>
          <w:rFonts w:ascii="Times New Roman" w:hAnsi="Times New Roman"/>
        </w:rPr>
        <w:t>.</w:t>
      </w:r>
      <w:r w:rsidR="002643D1" w:rsidRPr="001823D0">
        <w:rPr>
          <w:rFonts w:ascii="Times New Roman" w:hAnsi="Times New Roman"/>
        </w:rPr>
        <w:t xml:space="preserve"> In a recent broader study</w:t>
      </w:r>
      <w:r w:rsidR="00376C9E">
        <w:rPr>
          <w:rFonts w:ascii="Times New Roman" w:hAnsi="Times New Roman"/>
        </w:rPr>
        <w:t>,</w:t>
      </w:r>
      <w:r w:rsidR="002643D1" w:rsidRPr="001823D0">
        <w:rPr>
          <w:rFonts w:ascii="Times New Roman" w:hAnsi="Times New Roman"/>
        </w:rPr>
        <w:t xml:space="preserve"> Pivo and Fisher </w:t>
      </w:r>
      <w:r w:rsidR="002E563C">
        <w:rPr>
          <w:rFonts w:ascii="Times New Roman" w:hAnsi="Times New Roman"/>
        </w:rPr>
        <w:fldChar w:fldCharType="begin"/>
      </w:r>
      <w:r w:rsidR="002E563C">
        <w:rPr>
          <w:rFonts w:ascii="Times New Roman" w:hAnsi="Times New Roman"/>
        </w:rPr>
        <w:instrText xml:space="preserve"> ADDIN EN.CITE &lt;EndNote&gt;&lt;Cite ExcludeAuth="1"&gt;&lt;Author&gt;Pivo&lt;/Author&gt;&lt;Year&gt;2010&lt;/Year&gt;&lt;RecNum&gt;636&lt;/RecNum&gt;&lt;DisplayText&gt;(2010)&lt;/DisplayText&gt;&lt;record&gt;&lt;rec-number&gt;636&lt;/rec-number&gt;&lt;foreign-keys&gt;&lt;key app="EN" db-id="f2ar0z95bxfes4exf9l5s2sftaat5efvvz9a"&gt;636&lt;/key&gt;&lt;/foreign-keys&gt;&lt;ref-type name="Journal Article"&gt;17&lt;/ref-type&gt;&lt;contributors&gt;&lt;authors&gt;&lt;author&gt;Pivo, Gary&lt;/author&gt;&lt;author&gt;Fisher, Jeff&lt;/author&gt;&lt;/authors&gt;&lt;/contributors&gt;&lt;titles&gt;&lt;title&gt;Income, Value, and Returns in Socially Responsible Office Properties&lt;/title&gt;&lt;secondary-title&gt;Journal of Real Estate Research&lt;/secondary-title&gt;&lt;/titles&gt;&lt;periodical&gt;&lt;full-title&gt;Journal of Real Estate Research&lt;/full-title&gt;&lt;/periodical&gt;&lt;pages&gt;243-270&lt;/pages&gt;&lt;volume&gt;32&lt;/volume&gt;&lt;number&gt;3&lt;/number&gt;&lt;dates&gt;&lt;year&gt;2010&lt;/year&gt;&lt;/dates&gt;&lt;urls&gt;&lt;/urls&gt;&lt;/record&gt;&lt;/Cite&gt;&lt;/EndNote&gt;</w:instrText>
      </w:r>
      <w:r w:rsidR="002E563C">
        <w:rPr>
          <w:rFonts w:ascii="Times New Roman" w:hAnsi="Times New Roman"/>
        </w:rPr>
        <w:fldChar w:fldCharType="separate"/>
      </w:r>
      <w:r w:rsidR="002E563C">
        <w:rPr>
          <w:rFonts w:ascii="Times New Roman" w:hAnsi="Times New Roman"/>
          <w:noProof/>
        </w:rPr>
        <w:t>(</w:t>
      </w:r>
      <w:hyperlink w:anchor="_ENREF_14" w:tooltip="Pivo, 2010 #636" w:history="1">
        <w:r w:rsidR="00133E9A">
          <w:rPr>
            <w:rFonts w:ascii="Times New Roman" w:hAnsi="Times New Roman"/>
            <w:noProof/>
          </w:rPr>
          <w:t>2010</w:t>
        </w:r>
      </w:hyperlink>
      <w:r w:rsidR="002E563C">
        <w:rPr>
          <w:rFonts w:ascii="Times New Roman" w:hAnsi="Times New Roman"/>
          <w:noProof/>
        </w:rPr>
        <w:t>)</w:t>
      </w:r>
      <w:r w:rsidR="002E563C">
        <w:rPr>
          <w:rFonts w:ascii="Times New Roman" w:hAnsi="Times New Roman"/>
        </w:rPr>
        <w:fldChar w:fldCharType="end"/>
      </w:r>
      <w:r w:rsidR="002E563C">
        <w:rPr>
          <w:rFonts w:ascii="Times New Roman" w:hAnsi="Times New Roman"/>
        </w:rPr>
        <w:t xml:space="preserve"> </w:t>
      </w:r>
      <w:r w:rsidR="002643D1" w:rsidRPr="001823D0">
        <w:rPr>
          <w:rFonts w:ascii="Times New Roman" w:hAnsi="Times New Roman"/>
        </w:rPr>
        <w:t>suggest higher rents and returns for those engaged in CSR</w:t>
      </w:r>
      <w:r w:rsidR="00DE3846">
        <w:rPr>
          <w:rFonts w:ascii="Times New Roman" w:hAnsi="Times New Roman"/>
        </w:rPr>
        <w:t>.</w:t>
      </w:r>
    </w:p>
    <w:p w:rsidR="00913763" w:rsidRPr="001823D0" w:rsidRDefault="00913763" w:rsidP="00C519F5">
      <w:pPr>
        <w:spacing w:line="360" w:lineRule="auto"/>
        <w:ind w:firstLine="720"/>
        <w:jc w:val="both"/>
        <w:rPr>
          <w:rFonts w:ascii="Times New Roman" w:hAnsi="Times New Roman"/>
        </w:rPr>
      </w:pPr>
      <w:r w:rsidRPr="001823D0">
        <w:rPr>
          <w:rFonts w:ascii="Times New Roman" w:hAnsi="Times New Roman"/>
        </w:rPr>
        <w:t>Another</w:t>
      </w:r>
      <w:r w:rsidR="002643D1" w:rsidRPr="001823D0">
        <w:rPr>
          <w:rFonts w:ascii="Times New Roman" w:hAnsi="Times New Roman"/>
        </w:rPr>
        <w:t xml:space="preserve"> frequently </w:t>
      </w:r>
      <w:r w:rsidRPr="001823D0">
        <w:rPr>
          <w:rFonts w:ascii="Times New Roman" w:hAnsi="Times New Roman"/>
        </w:rPr>
        <w:t xml:space="preserve">invoked rationale for occupying green office space is tenant productivity. Miller et al. </w:t>
      </w:r>
      <w:r w:rsidRPr="001823D0">
        <w:rPr>
          <w:rFonts w:ascii="Times New Roman" w:hAnsi="Times New Roman"/>
        </w:rPr>
        <w:fldChar w:fldCharType="begin"/>
      </w:r>
      <w:r w:rsidR="002E563C">
        <w:rPr>
          <w:rFonts w:ascii="Times New Roman" w:hAnsi="Times New Roman"/>
        </w:rPr>
        <w:instrText xml:space="preserve"> ADDIN EN.CITE &lt;EndNote&gt;&lt;Cite ExcludeAuth="1"&gt;&lt;Author&gt;Miller&lt;/Author&gt;&lt;Year&gt;2009&lt;/Year&gt;&lt;RecNum&gt;579&lt;/RecNum&gt;&lt;DisplayText&gt;(2009)&lt;/DisplayText&gt;&lt;record&gt;&lt;rec-number&gt;579&lt;/rec-number&gt;&lt;foreign-keys&gt;&lt;key app="EN" db-id="f2ar0z95bxfes4exf9l5s2sftaat5efvvz9a"&gt;579&lt;/key&gt;&lt;/foreign-keys&gt;&lt;ref-type name="Journal Article"&gt;17&lt;/ref-type&gt;&lt;contributors&gt;&lt;authors&gt;&lt;author&gt;Miller, Norm&lt;/author&gt;&lt;author&gt;Pogue, David&lt;/author&gt;&lt;author&gt;Gough, Quiana D.&lt;/author&gt;&lt;author&gt;Davis, Susan M.&lt;/author&gt;&lt;/authors&gt;&lt;/contributors&gt;&lt;titles&gt;&lt;title&gt;Green Buildings and Productivity&lt;/title&gt;&lt;secondary-title&gt;Journal of Sustainable Real Estate&lt;/secondary-title&gt;&lt;/titles&gt;&lt;pages&gt;65-89&lt;/pages&gt;&lt;volume&gt;1&lt;/volume&gt;&lt;number&gt;1&lt;/number&gt;&lt;dates&gt;&lt;year&gt;2009&lt;/year&gt;&lt;/dates&gt;&lt;urls&gt;&lt;/urls&gt;&lt;/record&gt;&lt;/Cite&gt;&lt;/EndNote&gt;</w:instrText>
      </w:r>
      <w:r w:rsidRPr="001823D0">
        <w:rPr>
          <w:rFonts w:ascii="Times New Roman" w:hAnsi="Times New Roman"/>
        </w:rPr>
        <w:fldChar w:fldCharType="separate"/>
      </w:r>
      <w:r w:rsidRPr="001823D0">
        <w:rPr>
          <w:rFonts w:ascii="Times New Roman" w:hAnsi="Times New Roman"/>
          <w:noProof/>
        </w:rPr>
        <w:t>(</w:t>
      </w:r>
      <w:hyperlink w:anchor="_ENREF_9" w:tooltip="Miller, 2009 #579" w:history="1">
        <w:r w:rsidR="00133E9A" w:rsidRPr="001823D0">
          <w:rPr>
            <w:rFonts w:ascii="Times New Roman" w:hAnsi="Times New Roman"/>
            <w:noProof/>
          </w:rPr>
          <w:t>2009</w:t>
        </w:r>
      </w:hyperlink>
      <w:r w:rsidRPr="001823D0">
        <w:rPr>
          <w:rFonts w:ascii="Times New Roman" w:hAnsi="Times New Roman"/>
          <w:noProof/>
        </w:rPr>
        <w:t>)</w:t>
      </w:r>
      <w:r w:rsidRPr="001823D0">
        <w:rPr>
          <w:rFonts w:ascii="Times New Roman" w:hAnsi="Times New Roman"/>
        </w:rPr>
        <w:fldChar w:fldCharType="end"/>
      </w:r>
      <w:r w:rsidRPr="001823D0">
        <w:rPr>
          <w:rFonts w:ascii="Times New Roman" w:hAnsi="Times New Roman"/>
        </w:rPr>
        <w:t xml:space="preserve"> document in a survey that over half of occupants of environmentally certified buildings found their employees to </w:t>
      </w:r>
      <w:r w:rsidR="00863957">
        <w:rPr>
          <w:rFonts w:ascii="Times New Roman" w:hAnsi="Times New Roman"/>
        </w:rPr>
        <w:t>be more productive. I</w:t>
      </w:r>
      <w:r w:rsidRPr="001823D0">
        <w:rPr>
          <w:rFonts w:ascii="Times New Roman" w:hAnsi="Times New Roman"/>
        </w:rPr>
        <w:t xml:space="preserve">nterpretation of these results is problematic, </w:t>
      </w:r>
      <w:r w:rsidR="00863957">
        <w:rPr>
          <w:rFonts w:ascii="Times New Roman" w:hAnsi="Times New Roman"/>
        </w:rPr>
        <w:t xml:space="preserve">though, </w:t>
      </w:r>
      <w:r w:rsidRPr="001823D0">
        <w:rPr>
          <w:rFonts w:ascii="Times New Roman" w:hAnsi="Times New Roman"/>
        </w:rPr>
        <w:t xml:space="preserve">as these responses cannot </w:t>
      </w:r>
      <w:r w:rsidR="002E563C">
        <w:rPr>
          <w:rFonts w:ascii="Times New Roman" w:hAnsi="Times New Roman"/>
        </w:rPr>
        <w:t>control for</w:t>
      </w:r>
      <w:r w:rsidRPr="001823D0">
        <w:rPr>
          <w:rFonts w:ascii="Times New Roman" w:hAnsi="Times New Roman"/>
        </w:rPr>
        <w:t xml:space="preserve"> management style and indiv</w:t>
      </w:r>
      <w:r w:rsidR="002E563C">
        <w:rPr>
          <w:rFonts w:ascii="Times New Roman" w:hAnsi="Times New Roman"/>
        </w:rPr>
        <w:t xml:space="preserve">idual employee characteristics. </w:t>
      </w:r>
      <w:r w:rsidRPr="001823D0">
        <w:rPr>
          <w:rFonts w:ascii="Times New Roman" w:hAnsi="Times New Roman"/>
        </w:rPr>
        <w:t>However, surveys reporting on tenants in London indicate that there is indeed a shift in corporate preferences. A 2008 research report documents that 58 percent of tenants find energy efficiency “essential” and 50 percent find green attributes “essential.”</w:t>
      </w:r>
      <w:r w:rsidRPr="001823D0">
        <w:rPr>
          <w:rStyle w:val="FootnoteReference"/>
          <w:rFonts w:ascii="Times New Roman" w:hAnsi="Times New Roman"/>
        </w:rPr>
        <w:footnoteReference w:id="3"/>
      </w:r>
      <w:r w:rsidRPr="001823D0">
        <w:rPr>
          <w:rFonts w:ascii="Times New Roman" w:hAnsi="Times New Roman"/>
        </w:rPr>
        <w:t xml:space="preserve"> </w:t>
      </w:r>
      <w:r w:rsidR="00376C9E">
        <w:rPr>
          <w:rFonts w:ascii="Times New Roman" w:hAnsi="Times New Roman"/>
        </w:rPr>
        <w:t xml:space="preserve"> A 2012 survey of Corenet members suggests that tenants want natural light, better ventilation and better temperature control.</w:t>
      </w:r>
      <w:r w:rsidR="00376C9E">
        <w:rPr>
          <w:rStyle w:val="FootnoteReference"/>
          <w:rFonts w:ascii="Times New Roman" w:hAnsi="Times New Roman"/>
        </w:rPr>
        <w:footnoteReference w:id="4"/>
      </w:r>
      <w:r w:rsidR="00376C9E">
        <w:rPr>
          <w:rFonts w:ascii="Times New Roman" w:hAnsi="Times New Roman"/>
        </w:rPr>
        <w:t xml:space="preserve">  These features are consistent with more sustainable and greener space.</w:t>
      </w:r>
    </w:p>
    <w:p w:rsidR="00913763" w:rsidRPr="001823D0" w:rsidRDefault="00913763" w:rsidP="00C519F5">
      <w:pPr>
        <w:spacing w:line="360" w:lineRule="auto"/>
        <w:jc w:val="both"/>
        <w:rPr>
          <w:rFonts w:ascii="Times New Roman" w:hAnsi="Times New Roman"/>
        </w:rPr>
      </w:pPr>
      <w:r w:rsidRPr="001823D0">
        <w:rPr>
          <w:rFonts w:ascii="Times New Roman" w:hAnsi="Times New Roman"/>
        </w:rPr>
        <w:tab/>
        <w:t xml:space="preserve">Improving the bottom line through building energy efficiency is often reported as one of the direct economic benefits for real estate investment companies when considering energy efficiency and sustainability in their portfolios. Jones Lang LaSalle reports that of 115 office properties in </w:t>
      </w:r>
      <w:r w:rsidR="00DE3846">
        <w:rPr>
          <w:rFonts w:ascii="Times New Roman" w:hAnsi="Times New Roman"/>
        </w:rPr>
        <w:t>its</w:t>
      </w:r>
      <w:r w:rsidRPr="001823D0">
        <w:rPr>
          <w:rFonts w:ascii="Times New Roman" w:hAnsi="Times New Roman"/>
        </w:rPr>
        <w:t xml:space="preserve"> portfolio for which the energy efficiency was improved in 2006, the average realized savings for 2007 and 2008 were </w:t>
      </w:r>
      <w:r w:rsidR="002643D1" w:rsidRPr="001823D0">
        <w:rPr>
          <w:rFonts w:ascii="Times New Roman" w:hAnsi="Times New Roman"/>
        </w:rPr>
        <w:t xml:space="preserve">$2.24 million </w:t>
      </w:r>
      <w:r w:rsidRPr="001823D0">
        <w:rPr>
          <w:rFonts w:ascii="Times New Roman" w:hAnsi="Times New Roman"/>
        </w:rPr>
        <w:t xml:space="preserve">and </w:t>
      </w:r>
      <w:r w:rsidR="002643D1" w:rsidRPr="001823D0">
        <w:rPr>
          <w:rFonts w:ascii="Times New Roman" w:hAnsi="Times New Roman"/>
        </w:rPr>
        <w:t xml:space="preserve">$3 million </w:t>
      </w:r>
      <w:r w:rsidRPr="001823D0">
        <w:rPr>
          <w:rFonts w:ascii="Times New Roman" w:hAnsi="Times New Roman"/>
        </w:rPr>
        <w:t>respectively.</w:t>
      </w:r>
      <w:r w:rsidR="002E563C">
        <w:rPr>
          <w:rStyle w:val="FootnoteReference"/>
          <w:rFonts w:ascii="Times New Roman" w:hAnsi="Times New Roman"/>
        </w:rPr>
        <w:footnoteReference w:id="5"/>
      </w:r>
      <w:r w:rsidRPr="001823D0">
        <w:rPr>
          <w:rFonts w:ascii="Times New Roman" w:hAnsi="Times New Roman"/>
        </w:rPr>
        <w:t xml:space="preserve"> British Land reports that across </w:t>
      </w:r>
      <w:r w:rsidR="00DE3846">
        <w:rPr>
          <w:rFonts w:ascii="Times New Roman" w:hAnsi="Times New Roman"/>
        </w:rPr>
        <w:t>its</w:t>
      </w:r>
      <w:r w:rsidRPr="001823D0">
        <w:rPr>
          <w:rFonts w:ascii="Times New Roman" w:hAnsi="Times New Roman"/>
        </w:rPr>
        <w:t xml:space="preserve"> portfolio, there is a reported 12 percent decrease in energy use, amounting to </w:t>
      </w:r>
      <w:r w:rsidR="00DE3846">
        <w:rPr>
          <w:rFonts w:ascii="Times New Roman" w:hAnsi="Times New Roman"/>
        </w:rPr>
        <w:t xml:space="preserve">$1.12 million </w:t>
      </w:r>
      <w:r w:rsidRPr="001823D0">
        <w:rPr>
          <w:rFonts w:ascii="Times New Roman" w:hAnsi="Times New Roman"/>
        </w:rPr>
        <w:t>in annual savings in energy, and a decrease of 11.1 million kWh of energy used in 2009.</w:t>
      </w:r>
      <w:r w:rsidR="002E563C">
        <w:rPr>
          <w:rStyle w:val="FootnoteReference"/>
          <w:rFonts w:ascii="Times New Roman" w:hAnsi="Times New Roman"/>
        </w:rPr>
        <w:footnoteReference w:id="6"/>
      </w:r>
    </w:p>
    <w:p w:rsidR="00913763" w:rsidRPr="001823D0" w:rsidRDefault="00C06912" w:rsidP="00C519F5">
      <w:pPr>
        <w:spacing w:line="360" w:lineRule="auto"/>
        <w:jc w:val="both"/>
        <w:rPr>
          <w:rFonts w:ascii="Times New Roman" w:hAnsi="Times New Roman"/>
          <w:b/>
        </w:rPr>
      </w:pPr>
      <w:r w:rsidRPr="001823D0">
        <w:rPr>
          <w:rFonts w:ascii="Times New Roman" w:hAnsi="Times New Roman"/>
        </w:rPr>
        <w:tab/>
      </w:r>
      <w:r w:rsidR="00913763" w:rsidRPr="001823D0">
        <w:rPr>
          <w:rFonts w:ascii="Times New Roman" w:hAnsi="Times New Roman"/>
        </w:rPr>
        <w:t xml:space="preserve">Another stimulus for demand </w:t>
      </w:r>
      <w:r w:rsidRPr="001823D0">
        <w:rPr>
          <w:rFonts w:ascii="Times New Roman" w:hAnsi="Times New Roman"/>
        </w:rPr>
        <w:t xml:space="preserve">of sustainable space </w:t>
      </w:r>
      <w:r w:rsidR="00913763" w:rsidRPr="001823D0">
        <w:rPr>
          <w:rFonts w:ascii="Times New Roman" w:hAnsi="Times New Roman"/>
        </w:rPr>
        <w:t>is government regulation</w:t>
      </w:r>
      <w:r w:rsidRPr="001823D0">
        <w:rPr>
          <w:rFonts w:ascii="Times New Roman" w:hAnsi="Times New Roman"/>
        </w:rPr>
        <w:t xml:space="preserve"> and in many markets such as </w:t>
      </w:r>
      <w:r w:rsidR="002E563C">
        <w:rPr>
          <w:rFonts w:ascii="Times New Roman" w:hAnsi="Times New Roman"/>
        </w:rPr>
        <w:t>New York,</w:t>
      </w:r>
      <w:r w:rsidRPr="001823D0">
        <w:rPr>
          <w:rFonts w:ascii="Times New Roman" w:hAnsi="Times New Roman"/>
        </w:rPr>
        <w:t xml:space="preserve"> San Francisco or Washington</w:t>
      </w:r>
      <w:r w:rsidR="00DE3846">
        <w:rPr>
          <w:rFonts w:ascii="Times New Roman" w:hAnsi="Times New Roman"/>
        </w:rPr>
        <w:t>,</w:t>
      </w:r>
      <w:r w:rsidRPr="001823D0">
        <w:rPr>
          <w:rFonts w:ascii="Times New Roman" w:hAnsi="Times New Roman"/>
        </w:rPr>
        <w:t xml:space="preserve"> D</w:t>
      </w:r>
      <w:r w:rsidR="00DE3846">
        <w:rPr>
          <w:rFonts w:ascii="Times New Roman" w:hAnsi="Times New Roman"/>
        </w:rPr>
        <w:t>.</w:t>
      </w:r>
      <w:r w:rsidRPr="001823D0">
        <w:rPr>
          <w:rFonts w:ascii="Times New Roman" w:hAnsi="Times New Roman"/>
        </w:rPr>
        <w:t>C</w:t>
      </w:r>
      <w:r w:rsidR="00DE3846">
        <w:rPr>
          <w:rFonts w:ascii="Times New Roman" w:hAnsi="Times New Roman"/>
        </w:rPr>
        <w:t>.,</w:t>
      </w:r>
      <w:r w:rsidRPr="001823D0">
        <w:rPr>
          <w:rFonts w:ascii="Times New Roman" w:hAnsi="Times New Roman"/>
        </w:rPr>
        <w:t xml:space="preserve"> we see increased government pressure both on the regulatory side </w:t>
      </w:r>
      <w:r w:rsidR="002E563C">
        <w:rPr>
          <w:rFonts w:ascii="Times New Roman" w:hAnsi="Times New Roman"/>
        </w:rPr>
        <w:t xml:space="preserve">(through mandatory disclosure) </w:t>
      </w:r>
      <w:r w:rsidRPr="001823D0">
        <w:rPr>
          <w:rFonts w:ascii="Times New Roman" w:hAnsi="Times New Roman"/>
        </w:rPr>
        <w:t xml:space="preserve">and from direct government office demand </w:t>
      </w:r>
      <w:r w:rsidR="002E563C">
        <w:rPr>
          <w:rFonts w:ascii="Times New Roman" w:hAnsi="Times New Roman"/>
        </w:rPr>
        <w:t>of</w:t>
      </w:r>
      <w:r w:rsidRPr="001823D0">
        <w:rPr>
          <w:rFonts w:ascii="Times New Roman" w:hAnsi="Times New Roman"/>
        </w:rPr>
        <w:t xml:space="preserve"> th</w:t>
      </w:r>
      <w:r w:rsidR="00DE3846">
        <w:rPr>
          <w:rFonts w:ascii="Times New Roman" w:hAnsi="Times New Roman"/>
        </w:rPr>
        <w:t>e government services offices (</w:t>
      </w:r>
      <w:r w:rsidR="002E563C">
        <w:rPr>
          <w:rFonts w:ascii="Times New Roman" w:hAnsi="Times New Roman"/>
        </w:rPr>
        <w:t xml:space="preserve">the </w:t>
      </w:r>
      <w:r w:rsidR="00DE3846">
        <w:rPr>
          <w:rFonts w:ascii="Times New Roman" w:hAnsi="Times New Roman"/>
        </w:rPr>
        <w:t>f</w:t>
      </w:r>
      <w:r w:rsidRPr="001823D0">
        <w:rPr>
          <w:rFonts w:ascii="Times New Roman" w:hAnsi="Times New Roman"/>
        </w:rPr>
        <w:t xml:space="preserve">ederal GSA </w:t>
      </w:r>
      <w:r w:rsidR="002E563C">
        <w:rPr>
          <w:rFonts w:ascii="Times New Roman" w:hAnsi="Times New Roman"/>
        </w:rPr>
        <w:t>as well as the</w:t>
      </w:r>
      <w:r w:rsidR="00DE3846">
        <w:rPr>
          <w:rFonts w:ascii="Times New Roman" w:hAnsi="Times New Roman"/>
        </w:rPr>
        <w:t xml:space="preserve"> California GSA) that require Energy S</w:t>
      </w:r>
      <w:r w:rsidRPr="001823D0">
        <w:rPr>
          <w:rFonts w:ascii="Times New Roman" w:hAnsi="Times New Roman"/>
        </w:rPr>
        <w:t>tar</w:t>
      </w:r>
      <w:r w:rsidR="002E563C">
        <w:rPr>
          <w:rFonts w:ascii="Times New Roman" w:hAnsi="Times New Roman"/>
        </w:rPr>
        <w:t xml:space="preserve"> or LEED</w:t>
      </w:r>
      <w:r w:rsidRPr="001823D0">
        <w:rPr>
          <w:rFonts w:ascii="Times New Roman" w:hAnsi="Times New Roman"/>
        </w:rPr>
        <w:t xml:space="preserve"> labeled space for most new leases. </w:t>
      </w:r>
    </w:p>
    <w:p w:rsidR="00A4045C" w:rsidRPr="001823D0" w:rsidRDefault="00A4045C" w:rsidP="00C519F5">
      <w:pPr>
        <w:spacing w:line="360" w:lineRule="auto"/>
        <w:jc w:val="both"/>
        <w:rPr>
          <w:rFonts w:ascii="Times New Roman" w:hAnsi="Times New Roman"/>
          <w:b/>
        </w:rPr>
      </w:pPr>
    </w:p>
    <w:p w:rsidR="002E563C" w:rsidRPr="002E563C" w:rsidRDefault="004B59D6" w:rsidP="002E563C">
      <w:pPr>
        <w:numPr>
          <w:ilvl w:val="0"/>
          <w:numId w:val="5"/>
        </w:numPr>
        <w:spacing w:after="240" w:line="360" w:lineRule="auto"/>
        <w:jc w:val="both"/>
        <w:rPr>
          <w:rFonts w:ascii="Times New Roman" w:hAnsi="Times New Roman"/>
          <w:b/>
        </w:rPr>
      </w:pPr>
      <w:r w:rsidRPr="001823D0">
        <w:rPr>
          <w:rFonts w:ascii="Times New Roman" w:hAnsi="Times New Roman"/>
          <w:b/>
        </w:rPr>
        <w:t>Data</w:t>
      </w:r>
    </w:p>
    <w:p w:rsidR="00B277A0" w:rsidRPr="001823D0" w:rsidRDefault="00027BF3" w:rsidP="00027BF3">
      <w:pPr>
        <w:spacing w:line="360" w:lineRule="auto"/>
        <w:jc w:val="both"/>
        <w:rPr>
          <w:rFonts w:ascii="Times New Roman" w:hAnsi="Times New Roman"/>
        </w:rPr>
      </w:pPr>
      <w:r>
        <w:rPr>
          <w:rFonts w:ascii="Times New Roman" w:hAnsi="Times New Roman"/>
        </w:rPr>
        <w:tab/>
      </w:r>
      <w:r w:rsidR="00BE4614" w:rsidRPr="001823D0">
        <w:rPr>
          <w:rFonts w:ascii="Times New Roman" w:hAnsi="Times New Roman"/>
        </w:rPr>
        <w:t xml:space="preserve">Using CoStar data, we </w:t>
      </w:r>
      <w:r w:rsidR="002E563C">
        <w:rPr>
          <w:rFonts w:ascii="Times New Roman" w:hAnsi="Times New Roman"/>
        </w:rPr>
        <w:t>collect data on</w:t>
      </w:r>
      <w:r w:rsidR="00BE4614" w:rsidRPr="001823D0">
        <w:rPr>
          <w:rFonts w:ascii="Times New Roman" w:hAnsi="Times New Roman"/>
        </w:rPr>
        <w:t xml:space="preserve"> those markets where we </w:t>
      </w:r>
      <w:r w:rsidR="002E563C">
        <w:rPr>
          <w:rFonts w:ascii="Times New Roman" w:hAnsi="Times New Roman"/>
        </w:rPr>
        <w:t>observe</w:t>
      </w:r>
      <w:r w:rsidR="00DE3846">
        <w:rPr>
          <w:rFonts w:ascii="Times New Roman" w:hAnsi="Times New Roman"/>
        </w:rPr>
        <w:t xml:space="preserve"> the </w:t>
      </w:r>
      <w:r w:rsidR="002E563C">
        <w:rPr>
          <w:rFonts w:ascii="Times New Roman" w:hAnsi="Times New Roman"/>
        </w:rPr>
        <w:t>largest</w:t>
      </w:r>
      <w:r w:rsidR="00DE3846">
        <w:rPr>
          <w:rFonts w:ascii="Times New Roman" w:hAnsi="Times New Roman"/>
        </w:rPr>
        <w:t xml:space="preserve"> number of EBOM-</w:t>
      </w:r>
      <w:r w:rsidR="00BE4614" w:rsidRPr="001823D0">
        <w:rPr>
          <w:rFonts w:ascii="Times New Roman" w:hAnsi="Times New Roman"/>
        </w:rPr>
        <w:t>certified office buildings</w:t>
      </w:r>
      <w:r w:rsidR="002E563C">
        <w:rPr>
          <w:rFonts w:ascii="Times New Roman" w:hAnsi="Times New Roman"/>
        </w:rPr>
        <w:t>, as of the f</w:t>
      </w:r>
      <w:r w:rsidR="00BE4614" w:rsidRPr="001823D0">
        <w:rPr>
          <w:rFonts w:ascii="Times New Roman" w:hAnsi="Times New Roman"/>
        </w:rPr>
        <w:t xml:space="preserve">irst quarter </w:t>
      </w:r>
      <w:r w:rsidR="002E563C">
        <w:rPr>
          <w:rFonts w:ascii="Times New Roman" w:hAnsi="Times New Roman"/>
        </w:rPr>
        <w:t xml:space="preserve">of </w:t>
      </w:r>
      <w:r w:rsidR="00BE4614" w:rsidRPr="001823D0">
        <w:rPr>
          <w:rFonts w:ascii="Times New Roman" w:hAnsi="Times New Roman"/>
        </w:rPr>
        <w:t>2011</w:t>
      </w:r>
      <w:r w:rsidR="002E563C">
        <w:rPr>
          <w:rFonts w:ascii="Times New Roman" w:hAnsi="Times New Roman"/>
        </w:rPr>
        <w:t xml:space="preserve">. We apply the following filters: built prior to 1990; at least 15,000 square feet; </w:t>
      </w:r>
      <w:r w:rsidR="00BE4614" w:rsidRPr="001823D0">
        <w:rPr>
          <w:rFonts w:ascii="Times New Roman" w:hAnsi="Times New Roman"/>
        </w:rPr>
        <w:t>multi-ten</w:t>
      </w:r>
      <w:r w:rsidR="002E563C">
        <w:rPr>
          <w:rFonts w:ascii="Times New Roman" w:hAnsi="Times New Roman"/>
        </w:rPr>
        <w:t xml:space="preserve">ant; multiple floors; and Class A or B.  This resulted in </w:t>
      </w:r>
      <w:r w:rsidR="00BE4614" w:rsidRPr="001823D0">
        <w:rPr>
          <w:rFonts w:ascii="Times New Roman" w:hAnsi="Times New Roman"/>
        </w:rPr>
        <w:t xml:space="preserve">374 office buildings </w:t>
      </w:r>
      <w:r w:rsidR="002E563C">
        <w:rPr>
          <w:rFonts w:ascii="Times New Roman" w:hAnsi="Times New Roman"/>
        </w:rPr>
        <w:t xml:space="preserve">certified under the Existing Building scheme, distributed over </w:t>
      </w:r>
      <w:r w:rsidR="00BE4614" w:rsidRPr="001823D0">
        <w:rPr>
          <w:rFonts w:ascii="Times New Roman" w:hAnsi="Times New Roman"/>
        </w:rPr>
        <w:t>14 markets</w:t>
      </w:r>
      <w:r w:rsidR="001823D0">
        <w:rPr>
          <w:rFonts w:ascii="Times New Roman" w:hAnsi="Times New Roman"/>
        </w:rPr>
        <w:t>,</w:t>
      </w:r>
      <w:r w:rsidR="00BE4614" w:rsidRPr="001823D0">
        <w:rPr>
          <w:rFonts w:ascii="Times New Roman" w:hAnsi="Times New Roman"/>
        </w:rPr>
        <w:t xml:space="preserve"> where there were at least </w:t>
      </w:r>
      <w:r w:rsidR="002E563C">
        <w:rPr>
          <w:rFonts w:ascii="Times New Roman" w:hAnsi="Times New Roman"/>
        </w:rPr>
        <w:t>12</w:t>
      </w:r>
      <w:r w:rsidR="00BE4614" w:rsidRPr="001823D0">
        <w:rPr>
          <w:rFonts w:ascii="Times New Roman" w:hAnsi="Times New Roman"/>
        </w:rPr>
        <w:t xml:space="preserve"> or more observations in any one market.  </w:t>
      </w:r>
      <w:r w:rsidR="002E563C">
        <w:rPr>
          <w:rFonts w:ascii="Times New Roman" w:hAnsi="Times New Roman"/>
        </w:rPr>
        <w:t>The 14 markets include</w:t>
      </w:r>
      <w:r w:rsidR="00B277A0" w:rsidRPr="001823D0">
        <w:rPr>
          <w:rFonts w:ascii="Times New Roman" w:hAnsi="Times New Roman"/>
        </w:rPr>
        <w:t>:</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New York City</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Washington</w:t>
      </w:r>
      <w:r w:rsidR="00DE3846">
        <w:rPr>
          <w:rFonts w:ascii="Times New Roman" w:hAnsi="Times New Roman"/>
        </w:rPr>
        <w:t>,</w:t>
      </w:r>
      <w:r w:rsidRPr="001823D0">
        <w:rPr>
          <w:rFonts w:ascii="Times New Roman" w:hAnsi="Times New Roman"/>
        </w:rPr>
        <w:t xml:space="preserve"> D</w:t>
      </w:r>
      <w:r w:rsidR="00DE3846">
        <w:rPr>
          <w:rFonts w:ascii="Times New Roman" w:hAnsi="Times New Roman"/>
        </w:rPr>
        <w:t>.</w:t>
      </w:r>
      <w:r w:rsidRPr="001823D0">
        <w:rPr>
          <w:rFonts w:ascii="Times New Roman" w:hAnsi="Times New Roman"/>
        </w:rPr>
        <w:t>C</w:t>
      </w:r>
      <w:r w:rsidR="00DE3846">
        <w:rPr>
          <w:rFonts w:ascii="Times New Roman" w:hAnsi="Times New Roman"/>
        </w:rPr>
        <w:t>.</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San Francisco</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Houston</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Los Angeles</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Chicago</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Seattle/Puget Sound</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Boston</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Orange County</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East Bay/Oakland</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Denver</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Atlanta</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Dallas/Ft</w:t>
      </w:r>
      <w:r w:rsidR="00DE3846">
        <w:rPr>
          <w:rFonts w:ascii="Times New Roman" w:hAnsi="Times New Roman"/>
        </w:rPr>
        <w:t>.</w:t>
      </w:r>
      <w:r w:rsidRPr="001823D0">
        <w:rPr>
          <w:rFonts w:ascii="Times New Roman" w:hAnsi="Times New Roman"/>
        </w:rPr>
        <w:t xml:space="preserve"> Worth</w:t>
      </w:r>
    </w:p>
    <w:p w:rsidR="00B277A0" w:rsidRPr="001823D0" w:rsidRDefault="00B277A0" w:rsidP="00027BF3">
      <w:pPr>
        <w:pStyle w:val="ListParagraph"/>
        <w:numPr>
          <w:ilvl w:val="0"/>
          <w:numId w:val="1"/>
        </w:numPr>
        <w:spacing w:line="360" w:lineRule="auto"/>
        <w:jc w:val="both"/>
        <w:rPr>
          <w:rFonts w:ascii="Times New Roman" w:hAnsi="Times New Roman"/>
        </w:rPr>
      </w:pPr>
      <w:r w:rsidRPr="001823D0">
        <w:rPr>
          <w:rFonts w:ascii="Times New Roman" w:hAnsi="Times New Roman"/>
        </w:rPr>
        <w:t>Minneapolis/St</w:t>
      </w:r>
      <w:r w:rsidR="00DE3846">
        <w:rPr>
          <w:rFonts w:ascii="Times New Roman" w:hAnsi="Times New Roman"/>
        </w:rPr>
        <w:t>.</w:t>
      </w:r>
      <w:r w:rsidRPr="001823D0">
        <w:rPr>
          <w:rFonts w:ascii="Times New Roman" w:hAnsi="Times New Roman"/>
        </w:rPr>
        <w:t xml:space="preserve"> Paul</w:t>
      </w:r>
    </w:p>
    <w:p w:rsidR="00B277A0" w:rsidRPr="001823D0" w:rsidRDefault="00B277A0" w:rsidP="00C519F5">
      <w:pPr>
        <w:spacing w:line="360" w:lineRule="auto"/>
        <w:jc w:val="both"/>
        <w:rPr>
          <w:rFonts w:ascii="Times New Roman" w:hAnsi="Times New Roman"/>
        </w:rPr>
      </w:pPr>
    </w:p>
    <w:p w:rsidR="002E563C" w:rsidRDefault="00005662" w:rsidP="00C519F5">
      <w:pPr>
        <w:spacing w:line="360" w:lineRule="auto"/>
        <w:jc w:val="both"/>
        <w:rPr>
          <w:rFonts w:ascii="Times New Roman" w:hAnsi="Times New Roman"/>
        </w:rPr>
      </w:pPr>
      <w:r>
        <w:rPr>
          <w:rFonts w:ascii="Times New Roman" w:hAnsi="Times New Roman"/>
        </w:rPr>
        <w:t>The</w:t>
      </w:r>
      <w:r w:rsidR="00BE4614" w:rsidRPr="001823D0">
        <w:rPr>
          <w:rFonts w:ascii="Times New Roman" w:hAnsi="Times New Roman"/>
        </w:rPr>
        <w:t xml:space="preserve"> 374 buildings </w:t>
      </w:r>
      <w:r w:rsidR="002E563C">
        <w:rPr>
          <w:rFonts w:ascii="Times New Roman" w:hAnsi="Times New Roman"/>
        </w:rPr>
        <w:t>are</w:t>
      </w:r>
      <w:r w:rsidR="00BE4614" w:rsidRPr="001823D0">
        <w:rPr>
          <w:rFonts w:ascii="Times New Roman" w:hAnsi="Times New Roman"/>
        </w:rPr>
        <w:t xml:space="preserve"> managed by 317 property managers</w:t>
      </w:r>
      <w:r>
        <w:rPr>
          <w:rFonts w:ascii="Times New Roman" w:hAnsi="Times New Roman"/>
        </w:rPr>
        <w:t xml:space="preserve"> (with some managers overseeing more than one building)</w:t>
      </w:r>
      <w:r w:rsidR="002E563C">
        <w:rPr>
          <w:rFonts w:ascii="Times New Roman" w:hAnsi="Times New Roman"/>
        </w:rPr>
        <w:t>,</w:t>
      </w:r>
      <w:r w:rsidR="00BE4614" w:rsidRPr="001823D0">
        <w:rPr>
          <w:rFonts w:ascii="Times New Roman" w:hAnsi="Times New Roman"/>
        </w:rPr>
        <w:t xml:space="preserve"> to whom </w:t>
      </w:r>
      <w:r w:rsidR="002E563C">
        <w:rPr>
          <w:rFonts w:ascii="Times New Roman" w:hAnsi="Times New Roman"/>
        </w:rPr>
        <w:t xml:space="preserve">(structured) </w:t>
      </w:r>
      <w:r w:rsidR="00BE4614" w:rsidRPr="001823D0">
        <w:rPr>
          <w:rFonts w:ascii="Times New Roman" w:hAnsi="Times New Roman"/>
        </w:rPr>
        <w:t>surveys were sent</w:t>
      </w:r>
      <w:r w:rsidR="002E563C">
        <w:rPr>
          <w:rFonts w:ascii="Times New Roman" w:hAnsi="Times New Roman"/>
        </w:rPr>
        <w:t>,</w:t>
      </w:r>
      <w:r w:rsidR="00A74EC6" w:rsidRPr="001823D0">
        <w:rPr>
          <w:rFonts w:ascii="Times New Roman" w:hAnsi="Times New Roman"/>
        </w:rPr>
        <w:t xml:space="preserve"> </w:t>
      </w:r>
      <w:r>
        <w:rPr>
          <w:rFonts w:ascii="Times New Roman" w:hAnsi="Times New Roman"/>
        </w:rPr>
        <w:t>inquiring into</w:t>
      </w:r>
      <w:r w:rsidR="00A74EC6" w:rsidRPr="001823D0">
        <w:rPr>
          <w:rFonts w:ascii="Times New Roman" w:hAnsi="Times New Roman"/>
        </w:rPr>
        <w:t xml:space="preserve"> the types o</w:t>
      </w:r>
      <w:r w:rsidR="001823D0">
        <w:rPr>
          <w:rFonts w:ascii="Times New Roman" w:hAnsi="Times New Roman"/>
        </w:rPr>
        <w:t xml:space="preserve">f improvements </w:t>
      </w:r>
      <w:r w:rsidR="00DE3846">
        <w:rPr>
          <w:rFonts w:ascii="Times New Roman" w:hAnsi="Times New Roman"/>
        </w:rPr>
        <w:t>that</w:t>
      </w:r>
      <w:r w:rsidR="001823D0">
        <w:rPr>
          <w:rFonts w:ascii="Times New Roman" w:hAnsi="Times New Roman"/>
        </w:rPr>
        <w:t xml:space="preserve"> were made</w:t>
      </w:r>
      <w:r>
        <w:rPr>
          <w:rFonts w:ascii="Times New Roman" w:hAnsi="Times New Roman"/>
        </w:rPr>
        <w:t xml:space="preserve"> to achieve LEED certification</w:t>
      </w:r>
      <w:r w:rsidR="001823D0">
        <w:rPr>
          <w:rFonts w:ascii="Times New Roman" w:hAnsi="Times New Roman"/>
        </w:rPr>
        <w:t>.</w:t>
      </w:r>
      <w:r w:rsidR="00A74EC6" w:rsidRPr="001823D0">
        <w:rPr>
          <w:rFonts w:ascii="Times New Roman" w:hAnsi="Times New Roman"/>
        </w:rPr>
        <w:t xml:space="preserve"> </w:t>
      </w:r>
    </w:p>
    <w:p w:rsidR="00005662" w:rsidRDefault="00A74EC6" w:rsidP="002E563C">
      <w:pPr>
        <w:spacing w:line="360" w:lineRule="auto"/>
        <w:ind w:firstLine="720"/>
        <w:jc w:val="both"/>
        <w:rPr>
          <w:rFonts w:ascii="Times New Roman" w:hAnsi="Times New Roman"/>
        </w:rPr>
      </w:pPr>
      <w:r w:rsidRPr="001823D0">
        <w:rPr>
          <w:rFonts w:ascii="Times New Roman" w:hAnsi="Times New Roman"/>
        </w:rPr>
        <w:t xml:space="preserve">CoStar data on property details </w:t>
      </w:r>
      <w:r w:rsidR="002E563C">
        <w:rPr>
          <w:rFonts w:ascii="Times New Roman" w:hAnsi="Times New Roman"/>
        </w:rPr>
        <w:t>is</w:t>
      </w:r>
      <w:r w:rsidRPr="001823D0">
        <w:rPr>
          <w:rFonts w:ascii="Times New Roman" w:hAnsi="Times New Roman"/>
        </w:rPr>
        <w:t xml:space="preserve"> used to perform the empirical analysis and to select a control sample group</w:t>
      </w:r>
      <w:r w:rsidR="00BE4614" w:rsidRPr="001823D0">
        <w:rPr>
          <w:rFonts w:ascii="Times New Roman" w:hAnsi="Times New Roman"/>
        </w:rPr>
        <w:t>.</w:t>
      </w:r>
      <w:r w:rsidRPr="001823D0">
        <w:rPr>
          <w:rFonts w:ascii="Times New Roman" w:hAnsi="Times New Roman"/>
        </w:rPr>
        <w:t xml:space="preserve"> The control group </w:t>
      </w:r>
      <w:r w:rsidR="00005662">
        <w:rPr>
          <w:rFonts w:ascii="Times New Roman" w:hAnsi="Times New Roman"/>
        </w:rPr>
        <w:t>is</w:t>
      </w:r>
      <w:r w:rsidRPr="001823D0">
        <w:rPr>
          <w:rFonts w:ascii="Times New Roman" w:hAnsi="Times New Roman"/>
        </w:rPr>
        <w:t xml:space="preserve"> matched in terms of the above</w:t>
      </w:r>
      <w:r w:rsidR="00005662">
        <w:rPr>
          <w:rFonts w:ascii="Times New Roman" w:hAnsi="Times New Roman"/>
        </w:rPr>
        <w:t>-mentioned</w:t>
      </w:r>
      <w:r w:rsidRPr="001823D0">
        <w:rPr>
          <w:rFonts w:ascii="Times New Roman" w:hAnsi="Times New Roman"/>
        </w:rPr>
        <w:t xml:space="preserve"> filters</w:t>
      </w:r>
      <w:r w:rsidR="00005662">
        <w:rPr>
          <w:rFonts w:ascii="Times New Roman" w:hAnsi="Times New Roman"/>
        </w:rPr>
        <w:t>,</w:t>
      </w:r>
      <w:r w:rsidRPr="001823D0">
        <w:rPr>
          <w:rFonts w:ascii="Times New Roman" w:hAnsi="Times New Roman"/>
        </w:rPr>
        <w:t xml:space="preserve"> but </w:t>
      </w:r>
      <w:r w:rsidR="00005662">
        <w:rPr>
          <w:rFonts w:ascii="Times New Roman" w:hAnsi="Times New Roman"/>
        </w:rPr>
        <w:t>we also adjust</w:t>
      </w:r>
      <w:r w:rsidRPr="001823D0">
        <w:rPr>
          <w:rFonts w:ascii="Times New Roman" w:hAnsi="Times New Roman"/>
        </w:rPr>
        <w:t xml:space="preserve"> the selection </w:t>
      </w:r>
      <w:r w:rsidR="00005662">
        <w:rPr>
          <w:rFonts w:ascii="Times New Roman" w:hAnsi="Times New Roman"/>
        </w:rPr>
        <w:t>such</w:t>
      </w:r>
      <w:r w:rsidRPr="001823D0">
        <w:rPr>
          <w:rFonts w:ascii="Times New Roman" w:hAnsi="Times New Roman"/>
        </w:rPr>
        <w:t xml:space="preserve"> that the ages and siz</w:t>
      </w:r>
      <w:r w:rsidR="002F5444">
        <w:rPr>
          <w:rFonts w:ascii="Times New Roman" w:hAnsi="Times New Roman"/>
        </w:rPr>
        <w:t xml:space="preserve">es </w:t>
      </w:r>
      <w:r w:rsidR="00005662">
        <w:rPr>
          <w:rFonts w:ascii="Times New Roman" w:hAnsi="Times New Roman"/>
        </w:rPr>
        <w:t>of the treated and untreated samples are</w:t>
      </w:r>
      <w:r w:rsidR="002F5444">
        <w:rPr>
          <w:rFonts w:ascii="Times New Roman" w:hAnsi="Times New Roman"/>
        </w:rPr>
        <w:t xml:space="preserve"> as similar as possible.</w:t>
      </w:r>
      <w:r w:rsidRPr="001823D0">
        <w:rPr>
          <w:rFonts w:ascii="Times New Roman" w:hAnsi="Times New Roman"/>
        </w:rPr>
        <w:t xml:space="preserve"> The control sample </w:t>
      </w:r>
      <w:r w:rsidR="00005662">
        <w:rPr>
          <w:rFonts w:ascii="Times New Roman" w:hAnsi="Times New Roman"/>
        </w:rPr>
        <w:t>includes some</w:t>
      </w:r>
      <w:r w:rsidR="00992429">
        <w:rPr>
          <w:rFonts w:ascii="Times New Roman" w:hAnsi="Times New Roman"/>
        </w:rPr>
        <w:t xml:space="preserve"> 600 properties</w:t>
      </w:r>
      <w:r w:rsidR="00005662">
        <w:rPr>
          <w:rFonts w:ascii="Times New Roman" w:hAnsi="Times New Roman"/>
        </w:rPr>
        <w:t>,</w:t>
      </w:r>
      <w:r w:rsidR="00992429">
        <w:rPr>
          <w:rFonts w:ascii="Times New Roman" w:hAnsi="Times New Roman"/>
        </w:rPr>
        <w:t xml:space="preserve"> </w:t>
      </w:r>
      <w:r w:rsidRPr="001823D0">
        <w:rPr>
          <w:rFonts w:ascii="Times New Roman" w:hAnsi="Times New Roman"/>
        </w:rPr>
        <w:t xml:space="preserve">after </w:t>
      </w:r>
      <w:r w:rsidR="00005662">
        <w:rPr>
          <w:rFonts w:ascii="Times New Roman" w:hAnsi="Times New Roman"/>
        </w:rPr>
        <w:t>applying the</w:t>
      </w:r>
      <w:r w:rsidRPr="001823D0">
        <w:rPr>
          <w:rFonts w:ascii="Times New Roman" w:hAnsi="Times New Roman"/>
        </w:rPr>
        <w:t xml:space="preserve"> filters</w:t>
      </w:r>
      <w:r w:rsidR="00005662">
        <w:rPr>
          <w:rFonts w:ascii="Times New Roman" w:hAnsi="Times New Roman"/>
        </w:rPr>
        <w:t xml:space="preserve"> on</w:t>
      </w:r>
      <w:r w:rsidR="00992429">
        <w:rPr>
          <w:rFonts w:ascii="Times New Roman" w:hAnsi="Times New Roman"/>
        </w:rPr>
        <w:t xml:space="preserve"> location,</w:t>
      </w:r>
      <w:r w:rsidRPr="001823D0">
        <w:rPr>
          <w:rFonts w:ascii="Times New Roman" w:hAnsi="Times New Roman"/>
        </w:rPr>
        <w:t xml:space="preserve"> age and size.</w:t>
      </w:r>
      <w:r w:rsidR="00005662">
        <w:rPr>
          <w:rFonts w:ascii="Times New Roman" w:hAnsi="Times New Roman"/>
        </w:rPr>
        <w:t xml:space="preserve"> </w:t>
      </w:r>
    </w:p>
    <w:p w:rsidR="00B277A0" w:rsidRPr="001823D0" w:rsidRDefault="00AB3AC8" w:rsidP="002E563C">
      <w:pPr>
        <w:spacing w:line="360" w:lineRule="auto"/>
        <w:ind w:firstLine="720"/>
        <w:jc w:val="both"/>
        <w:rPr>
          <w:rFonts w:ascii="Times New Roman" w:hAnsi="Times New Roman"/>
        </w:rPr>
      </w:pPr>
      <w:r>
        <w:rPr>
          <w:rFonts w:ascii="Times New Roman" w:hAnsi="Times New Roman"/>
        </w:rPr>
        <w:t xml:space="preserve">Exhibit </w:t>
      </w:r>
      <w:r>
        <w:rPr>
          <w:rFonts w:ascii="Times New Roman" w:hAnsi="Times New Roman"/>
          <w:lang w:bidi="en-US"/>
        </w:rPr>
        <w:t xml:space="preserve">2 </w:t>
      </w:r>
      <w:r w:rsidR="002F5444" w:rsidRPr="002F5444">
        <w:rPr>
          <w:rFonts w:ascii="Times New Roman" w:hAnsi="Times New Roman"/>
          <w:lang w:bidi="en-US"/>
        </w:rPr>
        <w:t>summarizes the information availa</w:t>
      </w:r>
      <w:r w:rsidR="002F5444">
        <w:rPr>
          <w:rFonts w:ascii="Times New Roman" w:hAnsi="Times New Roman"/>
          <w:lang w:bidi="en-US"/>
        </w:rPr>
        <w:t>ble on the</w:t>
      </w:r>
      <w:r w:rsidR="002F5444" w:rsidRPr="002F5444">
        <w:rPr>
          <w:rFonts w:ascii="Times New Roman" w:hAnsi="Times New Roman"/>
          <w:lang w:bidi="en-US"/>
        </w:rPr>
        <w:t xml:space="preserve"> samples</w:t>
      </w:r>
      <w:r>
        <w:rPr>
          <w:rFonts w:ascii="Times New Roman" w:hAnsi="Times New Roman"/>
          <w:lang w:bidi="en-US"/>
        </w:rPr>
        <w:t xml:space="preserve"> and</w:t>
      </w:r>
      <w:r w:rsidR="002F5444" w:rsidRPr="002F5444">
        <w:rPr>
          <w:rFonts w:ascii="Times New Roman" w:hAnsi="Times New Roman"/>
          <w:lang w:bidi="en-US"/>
        </w:rPr>
        <w:t xml:space="preserve"> reports the means and standard deviations for a number of hedonic characteristics of green buildings and control buildings</w:t>
      </w:r>
      <w:r w:rsidR="00DE3846">
        <w:rPr>
          <w:rFonts w:ascii="Times New Roman" w:hAnsi="Times New Roman"/>
          <w:lang w:bidi="en-US"/>
        </w:rPr>
        <w:t>, including their size, quality</w:t>
      </w:r>
      <w:r w:rsidR="002F5444" w:rsidRPr="002F5444">
        <w:rPr>
          <w:rFonts w:ascii="Times New Roman" w:hAnsi="Times New Roman"/>
          <w:lang w:bidi="en-US"/>
        </w:rPr>
        <w:t xml:space="preserve"> and number of stories, as well as i</w:t>
      </w:r>
      <w:r w:rsidR="002F5444">
        <w:rPr>
          <w:rFonts w:ascii="Times New Roman" w:hAnsi="Times New Roman"/>
          <w:lang w:bidi="en-US"/>
        </w:rPr>
        <w:t xml:space="preserve">ndexes for building renovation </w:t>
      </w:r>
      <w:r w:rsidR="002F5444" w:rsidRPr="002F5444">
        <w:rPr>
          <w:rFonts w:ascii="Times New Roman" w:hAnsi="Times New Roman"/>
          <w:lang w:bidi="en-US"/>
        </w:rPr>
        <w:t>and proximity to public transport.</w:t>
      </w:r>
      <w:r w:rsidR="002F5444">
        <w:rPr>
          <w:rFonts w:ascii="Times New Roman" w:hAnsi="Times New Roman"/>
          <w:lang w:bidi="en-US"/>
        </w:rPr>
        <w:t xml:space="preserve"> Compared to earlier studies on the economics of green building, the sample</w:t>
      </w:r>
      <w:r w:rsidR="00005662">
        <w:rPr>
          <w:rFonts w:ascii="Times New Roman" w:hAnsi="Times New Roman"/>
          <w:lang w:bidi="en-US"/>
        </w:rPr>
        <w:t xml:space="preserve"> characteristics</w:t>
      </w:r>
      <w:r w:rsidR="002F5444">
        <w:rPr>
          <w:rFonts w:ascii="Times New Roman" w:hAnsi="Times New Roman"/>
          <w:lang w:bidi="en-US"/>
        </w:rPr>
        <w:t xml:space="preserve"> are quite similar. Green buildings are slightly younger and have a higher renovation propensity, but the differences are clearly limited through the data selection procedure.</w:t>
      </w:r>
      <w:r>
        <w:rPr>
          <w:rFonts w:ascii="Times New Roman" w:hAnsi="Times New Roman"/>
          <w:lang w:bidi="en-US"/>
        </w:rPr>
        <w:t xml:space="preserve"> </w:t>
      </w:r>
    </w:p>
    <w:p w:rsidR="00BE4614" w:rsidRDefault="00BE4614" w:rsidP="00C519F5">
      <w:pPr>
        <w:spacing w:line="360" w:lineRule="auto"/>
        <w:jc w:val="both"/>
        <w:rPr>
          <w:rFonts w:ascii="Times New Roman" w:hAnsi="Times New Roman"/>
          <w:b/>
        </w:rPr>
      </w:pPr>
    </w:p>
    <w:p w:rsidR="00A321D8" w:rsidRDefault="00A321D8" w:rsidP="00A321D8">
      <w:pPr>
        <w:numPr>
          <w:ilvl w:val="0"/>
          <w:numId w:val="5"/>
        </w:numPr>
        <w:spacing w:after="240" w:line="360" w:lineRule="auto"/>
        <w:rPr>
          <w:rFonts w:ascii="Times New Roman" w:hAnsi="Times New Roman"/>
          <w:b/>
        </w:rPr>
      </w:pPr>
      <w:r w:rsidRPr="000B135F">
        <w:rPr>
          <w:rFonts w:ascii="Times New Roman" w:hAnsi="Times New Roman"/>
          <w:b/>
        </w:rPr>
        <w:t>Survey Results</w:t>
      </w:r>
    </w:p>
    <w:p w:rsidR="00A321D8" w:rsidRDefault="00801F9A" w:rsidP="00A321D8">
      <w:pPr>
        <w:spacing w:line="360" w:lineRule="auto"/>
        <w:ind w:firstLine="720"/>
        <w:jc w:val="both"/>
        <w:rPr>
          <w:rFonts w:ascii="Times New Roman" w:hAnsi="Times New Roman"/>
        </w:rPr>
      </w:pPr>
      <w:r>
        <w:rPr>
          <w:rFonts w:ascii="Times New Roman" w:hAnsi="Times New Roman"/>
        </w:rPr>
        <w:t xml:space="preserve">The survey resulted in a response of 13 percent, or 41 respondents, all of which registered for and achieved LEED status. </w:t>
      </w:r>
      <w:r w:rsidR="00BF7719">
        <w:rPr>
          <w:rFonts w:ascii="Times New Roman" w:hAnsi="Times New Roman"/>
        </w:rPr>
        <w:t>We analyze the survey to understand better the real-life challenges and perceptions of commercial building retrofits. Of course, retrofits also take place to simply improve the quality of a building, so w</w:t>
      </w:r>
      <w:r w:rsidR="00A321D8">
        <w:rPr>
          <w:rFonts w:ascii="Times New Roman" w:hAnsi="Times New Roman"/>
        </w:rPr>
        <w:t xml:space="preserve">e </w:t>
      </w:r>
      <w:r w:rsidR="00BF7719">
        <w:rPr>
          <w:rFonts w:ascii="Times New Roman" w:hAnsi="Times New Roman"/>
        </w:rPr>
        <w:t>first attempt</w:t>
      </w:r>
      <w:r w:rsidR="00A321D8">
        <w:rPr>
          <w:rFonts w:ascii="Times New Roman" w:hAnsi="Times New Roman"/>
        </w:rPr>
        <w:t xml:space="preserve"> to ascertain what percent of the improvements were related to sustainability and which were simply necessary to update </w:t>
      </w:r>
      <w:r w:rsidR="00BF7719">
        <w:rPr>
          <w:rFonts w:ascii="Times New Roman" w:hAnsi="Times New Roman"/>
        </w:rPr>
        <w:t xml:space="preserve">otherwise obsolete buildings. So, we asked the following </w:t>
      </w:r>
      <w:r w:rsidR="00A321D8">
        <w:rPr>
          <w:rFonts w:ascii="Times New Roman" w:hAnsi="Times New Roman"/>
        </w:rPr>
        <w:t>question</w:t>
      </w:r>
      <w:r w:rsidR="00BF7719">
        <w:rPr>
          <w:rFonts w:ascii="Times New Roman" w:hAnsi="Times New Roman"/>
        </w:rPr>
        <w:t>: “O</w:t>
      </w:r>
      <w:r w:rsidR="00BF7719" w:rsidRPr="00BF7719">
        <w:rPr>
          <w:rFonts w:ascii="Times New Roman" w:hAnsi="Times New Roman"/>
        </w:rPr>
        <w:t>f the improvements made when you retrofit this building, what percentage was sustainable-related, as opposed to merely updating the building to remain competitive?</w:t>
      </w:r>
      <w:r w:rsidR="002C7368">
        <w:rPr>
          <w:rFonts w:ascii="Times New Roman" w:hAnsi="Times New Roman"/>
        </w:rPr>
        <w:t>”</w:t>
      </w:r>
      <w:r w:rsidR="00BF7719">
        <w:rPr>
          <w:rFonts w:ascii="Times New Roman" w:hAnsi="Times New Roman"/>
        </w:rPr>
        <w:t xml:space="preserve"> </w:t>
      </w:r>
      <w:r w:rsidR="00A321D8">
        <w:rPr>
          <w:rFonts w:ascii="Times New Roman" w:hAnsi="Times New Roman"/>
        </w:rPr>
        <w:t xml:space="preserve">Exhibit </w:t>
      </w:r>
      <w:r w:rsidR="002C7368">
        <w:rPr>
          <w:rFonts w:ascii="Times New Roman" w:hAnsi="Times New Roman"/>
        </w:rPr>
        <w:t>3</w:t>
      </w:r>
      <w:r w:rsidR="00BF7719">
        <w:rPr>
          <w:rFonts w:ascii="Times New Roman" w:hAnsi="Times New Roman"/>
        </w:rPr>
        <w:t xml:space="preserve"> provides a breakdown of the answers</w:t>
      </w:r>
      <w:r w:rsidR="00A321D8">
        <w:rPr>
          <w:rFonts w:ascii="Times New Roman" w:hAnsi="Times New Roman"/>
        </w:rPr>
        <w:t xml:space="preserve">. </w:t>
      </w:r>
      <w:r w:rsidR="00BF7719">
        <w:rPr>
          <w:rFonts w:ascii="Times New Roman" w:hAnsi="Times New Roman"/>
        </w:rPr>
        <w:t>Just</w:t>
      </w:r>
      <w:r w:rsidR="00A321D8">
        <w:rPr>
          <w:rFonts w:ascii="Times New Roman" w:hAnsi="Times New Roman"/>
        </w:rPr>
        <w:t xml:space="preserve"> </w:t>
      </w:r>
      <w:r w:rsidR="00BF7719">
        <w:rPr>
          <w:rFonts w:ascii="Times New Roman" w:hAnsi="Times New Roman"/>
        </w:rPr>
        <w:t>14 percent of the respondents indicate</w:t>
      </w:r>
      <w:r w:rsidR="00A321D8">
        <w:rPr>
          <w:rFonts w:ascii="Times New Roman" w:hAnsi="Times New Roman"/>
        </w:rPr>
        <w:t xml:space="preserve"> that all the improvements were related to sustainability</w:t>
      </w:r>
      <w:r w:rsidR="00BF7719">
        <w:rPr>
          <w:rFonts w:ascii="Times New Roman" w:hAnsi="Times New Roman"/>
        </w:rPr>
        <w:t>, and over 18 percent</w:t>
      </w:r>
      <w:r w:rsidR="00A321D8">
        <w:rPr>
          <w:rFonts w:ascii="Times New Roman" w:hAnsi="Times New Roman"/>
        </w:rPr>
        <w:t xml:space="preserve"> </w:t>
      </w:r>
      <w:r w:rsidR="00BF7719">
        <w:rPr>
          <w:rFonts w:ascii="Times New Roman" w:hAnsi="Times New Roman"/>
        </w:rPr>
        <w:t>indicate</w:t>
      </w:r>
      <w:r w:rsidR="00A321D8">
        <w:rPr>
          <w:rFonts w:ascii="Times New Roman" w:hAnsi="Times New Roman"/>
        </w:rPr>
        <w:t xml:space="preserve"> that this is </w:t>
      </w:r>
      <w:r w:rsidR="00BF7719">
        <w:rPr>
          <w:rFonts w:ascii="Times New Roman" w:hAnsi="Times New Roman"/>
        </w:rPr>
        <w:t>impossible to separate. But for a</w:t>
      </w:r>
      <w:r w:rsidR="00A321D8">
        <w:rPr>
          <w:rFonts w:ascii="Times New Roman" w:hAnsi="Times New Roman"/>
        </w:rPr>
        <w:t xml:space="preserve"> significant </w:t>
      </w:r>
      <w:r w:rsidR="00BF7719">
        <w:rPr>
          <w:rFonts w:ascii="Times New Roman" w:hAnsi="Times New Roman"/>
        </w:rPr>
        <w:t>fraction of the respondent,</w:t>
      </w:r>
      <w:r w:rsidR="00A321D8">
        <w:rPr>
          <w:rFonts w:ascii="Times New Roman" w:hAnsi="Times New Roman"/>
        </w:rPr>
        <w:t xml:space="preserve"> the improvements were related to sustainability, and the most common improvements </w:t>
      </w:r>
      <w:r w:rsidR="00BF7719">
        <w:rPr>
          <w:rFonts w:ascii="Times New Roman" w:hAnsi="Times New Roman"/>
        </w:rPr>
        <w:t xml:space="preserve">are provided in Exhibit </w:t>
      </w:r>
      <w:r w:rsidR="002C7368">
        <w:rPr>
          <w:rFonts w:ascii="Times New Roman" w:hAnsi="Times New Roman"/>
        </w:rPr>
        <w:t>4</w:t>
      </w:r>
      <w:r w:rsidR="00BF7719">
        <w:rPr>
          <w:rFonts w:ascii="Times New Roman" w:hAnsi="Times New Roman"/>
        </w:rPr>
        <w:t>.</w:t>
      </w:r>
      <w:r w:rsidR="00A321D8">
        <w:rPr>
          <w:rFonts w:ascii="Times New Roman" w:hAnsi="Times New Roman"/>
        </w:rPr>
        <w:t xml:space="preserve"> Not surprisingly</w:t>
      </w:r>
      <w:r w:rsidR="00BF7719">
        <w:rPr>
          <w:rFonts w:ascii="Times New Roman" w:hAnsi="Times New Roman"/>
        </w:rPr>
        <w:t>,</w:t>
      </w:r>
      <w:r w:rsidR="00A321D8">
        <w:rPr>
          <w:rFonts w:ascii="Times New Roman" w:hAnsi="Times New Roman"/>
        </w:rPr>
        <w:t xml:space="preserve"> </w:t>
      </w:r>
      <w:r w:rsidR="00BF7719">
        <w:rPr>
          <w:rFonts w:ascii="Times New Roman" w:hAnsi="Times New Roman"/>
        </w:rPr>
        <w:t>most respondents have implemented what</w:t>
      </w:r>
      <w:r w:rsidR="00A321D8">
        <w:rPr>
          <w:rFonts w:ascii="Times New Roman" w:hAnsi="Times New Roman"/>
        </w:rPr>
        <w:t xml:space="preserve"> many in the industry refer to as </w:t>
      </w:r>
      <w:r w:rsidR="00BF7719">
        <w:rPr>
          <w:rFonts w:ascii="Times New Roman" w:hAnsi="Times New Roman"/>
        </w:rPr>
        <w:t>“</w:t>
      </w:r>
      <w:r w:rsidR="00A321D8">
        <w:rPr>
          <w:rFonts w:ascii="Times New Roman" w:hAnsi="Times New Roman"/>
        </w:rPr>
        <w:t>the low hanging fruit</w:t>
      </w:r>
      <w:r w:rsidR="00BF7719">
        <w:rPr>
          <w:rFonts w:ascii="Times New Roman" w:hAnsi="Times New Roman"/>
        </w:rPr>
        <w:t>” -- for</w:t>
      </w:r>
      <w:r w:rsidR="00A321D8">
        <w:rPr>
          <w:rFonts w:ascii="Times New Roman" w:hAnsi="Times New Roman"/>
        </w:rPr>
        <w:t xml:space="preserve"> lighting</w:t>
      </w:r>
      <w:r w:rsidR="00BF7719">
        <w:rPr>
          <w:rFonts w:ascii="Times New Roman" w:hAnsi="Times New Roman"/>
        </w:rPr>
        <w:t>,</w:t>
      </w:r>
      <w:r w:rsidR="00A321D8">
        <w:rPr>
          <w:rFonts w:ascii="Times New Roman" w:hAnsi="Times New Roman"/>
        </w:rPr>
        <w:t xml:space="preserve"> </w:t>
      </w:r>
      <w:r w:rsidR="00BF7719">
        <w:rPr>
          <w:rFonts w:ascii="Times New Roman" w:hAnsi="Times New Roman"/>
        </w:rPr>
        <w:t>p</w:t>
      </w:r>
      <w:r w:rsidR="00A321D8">
        <w:rPr>
          <w:rFonts w:ascii="Times New Roman" w:hAnsi="Times New Roman"/>
        </w:rPr>
        <w:t xml:space="preserve">aybacks are </w:t>
      </w:r>
      <w:r w:rsidR="00BF7719">
        <w:rPr>
          <w:rFonts w:ascii="Times New Roman" w:hAnsi="Times New Roman"/>
        </w:rPr>
        <w:t xml:space="preserve">generally </w:t>
      </w:r>
      <w:r w:rsidR="00A321D8">
        <w:rPr>
          <w:rFonts w:ascii="Times New Roman" w:hAnsi="Times New Roman"/>
        </w:rPr>
        <w:t xml:space="preserve">very fast.  </w:t>
      </w:r>
      <w:r w:rsidR="00BF7719">
        <w:rPr>
          <w:rFonts w:ascii="Times New Roman" w:hAnsi="Times New Roman"/>
        </w:rPr>
        <w:t>Other popular improvements relate to</w:t>
      </w:r>
      <w:r w:rsidR="00A321D8">
        <w:rPr>
          <w:rFonts w:ascii="Times New Roman" w:hAnsi="Times New Roman"/>
        </w:rPr>
        <w:t xml:space="preserve"> HVAC</w:t>
      </w:r>
      <w:r w:rsidR="00BF7719">
        <w:rPr>
          <w:rFonts w:ascii="Times New Roman" w:hAnsi="Times New Roman"/>
        </w:rPr>
        <w:t>,</w:t>
      </w:r>
      <w:r w:rsidR="00A321D8">
        <w:rPr>
          <w:rFonts w:ascii="Times New Roman" w:hAnsi="Times New Roman"/>
        </w:rPr>
        <w:t xml:space="preserve"> followed by water flow systems </w:t>
      </w:r>
      <w:r w:rsidR="00BF7719">
        <w:rPr>
          <w:rFonts w:ascii="Times New Roman" w:hAnsi="Times New Roman"/>
        </w:rPr>
        <w:t>(low-flush toilets, etc</w:t>
      </w:r>
      <w:r w:rsidR="002C7368">
        <w:rPr>
          <w:rFonts w:ascii="Times New Roman" w:hAnsi="Times New Roman"/>
        </w:rPr>
        <w:t>.</w:t>
      </w:r>
      <w:r w:rsidR="00BF7719">
        <w:rPr>
          <w:rFonts w:ascii="Times New Roman" w:hAnsi="Times New Roman"/>
        </w:rPr>
        <w:t xml:space="preserve">) </w:t>
      </w:r>
      <w:r w:rsidR="00A321D8">
        <w:rPr>
          <w:rFonts w:ascii="Times New Roman" w:hAnsi="Times New Roman"/>
        </w:rPr>
        <w:t xml:space="preserve">and </w:t>
      </w:r>
      <w:r w:rsidR="00BF7719">
        <w:rPr>
          <w:rFonts w:ascii="Times New Roman" w:hAnsi="Times New Roman"/>
        </w:rPr>
        <w:t>recycling containers.</w:t>
      </w:r>
      <w:r w:rsidR="00A321D8">
        <w:rPr>
          <w:rFonts w:ascii="Times New Roman" w:hAnsi="Times New Roman"/>
        </w:rPr>
        <w:t xml:space="preserve"> </w:t>
      </w:r>
      <w:r w:rsidR="00BF7719">
        <w:rPr>
          <w:rFonts w:ascii="Times New Roman" w:hAnsi="Times New Roman"/>
        </w:rPr>
        <w:t>M</w:t>
      </w:r>
      <w:r w:rsidR="00A321D8">
        <w:rPr>
          <w:rFonts w:ascii="Times New Roman" w:hAnsi="Times New Roman"/>
        </w:rPr>
        <w:t>otion detectors</w:t>
      </w:r>
      <w:r w:rsidR="00BF7719">
        <w:rPr>
          <w:rFonts w:ascii="Times New Roman" w:hAnsi="Times New Roman"/>
        </w:rPr>
        <w:t xml:space="preserve">, automatically switching </w:t>
      </w:r>
      <w:r w:rsidR="00A321D8">
        <w:rPr>
          <w:rFonts w:ascii="Times New Roman" w:hAnsi="Times New Roman"/>
        </w:rPr>
        <w:t xml:space="preserve">systems </w:t>
      </w:r>
      <w:r w:rsidR="00BF7719">
        <w:rPr>
          <w:rFonts w:ascii="Times New Roman" w:hAnsi="Times New Roman"/>
        </w:rPr>
        <w:t>on/off, are also implemented by the majority of respondents. A</w:t>
      </w:r>
      <w:r w:rsidR="00A321D8">
        <w:rPr>
          <w:rFonts w:ascii="Times New Roman" w:hAnsi="Times New Roman"/>
        </w:rPr>
        <w:t>s we move left</w:t>
      </w:r>
      <w:r w:rsidR="00BF7719">
        <w:rPr>
          <w:rFonts w:ascii="Times New Roman" w:hAnsi="Times New Roman"/>
        </w:rPr>
        <w:t>,</w:t>
      </w:r>
      <w:r w:rsidR="00A321D8">
        <w:rPr>
          <w:rFonts w:ascii="Times New Roman" w:hAnsi="Times New Roman"/>
        </w:rPr>
        <w:t xml:space="preserve"> </w:t>
      </w:r>
      <w:r w:rsidR="005F2C79">
        <w:rPr>
          <w:rFonts w:ascii="Times New Roman" w:hAnsi="Times New Roman"/>
        </w:rPr>
        <w:t xml:space="preserve">we find </w:t>
      </w:r>
      <w:r w:rsidR="00A321D8">
        <w:rPr>
          <w:rFonts w:ascii="Times New Roman" w:hAnsi="Times New Roman"/>
        </w:rPr>
        <w:t>more expensive improvements</w:t>
      </w:r>
      <w:r w:rsidR="005F2C79">
        <w:rPr>
          <w:rFonts w:ascii="Times New Roman" w:hAnsi="Times New Roman"/>
        </w:rPr>
        <w:t>,</w:t>
      </w:r>
      <w:r w:rsidR="00A321D8">
        <w:rPr>
          <w:rFonts w:ascii="Times New Roman" w:hAnsi="Times New Roman"/>
        </w:rPr>
        <w:t xml:space="preserve"> like </w:t>
      </w:r>
      <w:r w:rsidR="005F2C79">
        <w:rPr>
          <w:rFonts w:ascii="Times New Roman" w:hAnsi="Times New Roman"/>
        </w:rPr>
        <w:t xml:space="preserve">replacing roofs, installing </w:t>
      </w:r>
      <w:r w:rsidR="00A321D8">
        <w:rPr>
          <w:rFonts w:ascii="Times New Roman" w:hAnsi="Times New Roman"/>
        </w:rPr>
        <w:t>PV solar cells</w:t>
      </w:r>
      <w:r w:rsidR="005F2C79">
        <w:rPr>
          <w:rFonts w:ascii="Times New Roman" w:hAnsi="Times New Roman"/>
        </w:rPr>
        <w:t>,</w:t>
      </w:r>
      <w:r w:rsidR="00A321D8">
        <w:rPr>
          <w:rFonts w:ascii="Times New Roman" w:hAnsi="Times New Roman"/>
        </w:rPr>
        <w:t xml:space="preserve"> and </w:t>
      </w:r>
      <w:r w:rsidR="005F2C79">
        <w:rPr>
          <w:rFonts w:ascii="Times New Roman" w:hAnsi="Times New Roman"/>
        </w:rPr>
        <w:t xml:space="preserve">changing </w:t>
      </w:r>
      <w:r w:rsidR="00A321D8">
        <w:rPr>
          <w:rFonts w:ascii="Times New Roman" w:hAnsi="Times New Roman"/>
        </w:rPr>
        <w:t xml:space="preserve">floors, insulation and operable windows and better glazing.  </w:t>
      </w:r>
      <w:r w:rsidR="005F2C79">
        <w:rPr>
          <w:rFonts w:ascii="Times New Roman" w:hAnsi="Times New Roman"/>
        </w:rPr>
        <w:t xml:space="preserve">(More </w:t>
      </w:r>
      <w:r w:rsidR="00A321D8">
        <w:rPr>
          <w:rFonts w:ascii="Times New Roman" w:hAnsi="Times New Roman"/>
        </w:rPr>
        <w:t>on these types of improvements and the</w:t>
      </w:r>
      <w:r w:rsidR="00376C9E">
        <w:rPr>
          <w:rFonts w:ascii="Times New Roman" w:hAnsi="Times New Roman"/>
        </w:rPr>
        <w:t>ir costs and benefits is provided in</w:t>
      </w:r>
      <w:r w:rsidR="00A321D8">
        <w:rPr>
          <w:rFonts w:ascii="Times New Roman" w:hAnsi="Times New Roman"/>
        </w:rPr>
        <w:t xml:space="preserve"> section </w:t>
      </w:r>
      <w:r w:rsidR="005F2C79">
        <w:rPr>
          <w:rFonts w:ascii="Times New Roman" w:hAnsi="Times New Roman"/>
        </w:rPr>
        <w:t xml:space="preserve">VI </w:t>
      </w:r>
      <w:r w:rsidR="00A321D8">
        <w:rPr>
          <w:rFonts w:ascii="Times New Roman" w:hAnsi="Times New Roman"/>
        </w:rPr>
        <w:t>of the paper.</w:t>
      </w:r>
      <w:r w:rsidR="005F2C79">
        <w:rPr>
          <w:rFonts w:ascii="Times New Roman" w:hAnsi="Times New Roman"/>
        </w:rPr>
        <w:t>)</w:t>
      </w:r>
      <w:r w:rsidR="00A321D8">
        <w:rPr>
          <w:rFonts w:ascii="Times New Roman" w:hAnsi="Times New Roman"/>
        </w:rPr>
        <w:t xml:space="preserve">  </w:t>
      </w:r>
    </w:p>
    <w:p w:rsidR="00A321D8" w:rsidRDefault="00A321D8" w:rsidP="005F2C79">
      <w:pPr>
        <w:spacing w:line="360" w:lineRule="auto"/>
        <w:jc w:val="both"/>
        <w:rPr>
          <w:rFonts w:ascii="Times New Roman" w:hAnsi="Times New Roman"/>
        </w:rPr>
      </w:pPr>
      <w:r>
        <w:rPr>
          <w:rFonts w:ascii="Times New Roman" w:hAnsi="Times New Roman"/>
        </w:rPr>
        <w:tab/>
      </w:r>
      <w:r w:rsidRPr="001823D0">
        <w:rPr>
          <w:rFonts w:ascii="Times New Roman" w:hAnsi="Times New Roman"/>
        </w:rPr>
        <w:t>The renovation investments ran</w:t>
      </w:r>
      <w:r>
        <w:rPr>
          <w:rFonts w:ascii="Times New Roman" w:hAnsi="Times New Roman"/>
        </w:rPr>
        <w:t xml:space="preserve">ged in size from just over $400,000 </w:t>
      </w:r>
      <w:r w:rsidRPr="001823D0">
        <w:rPr>
          <w:rFonts w:ascii="Times New Roman" w:hAnsi="Times New Roman"/>
        </w:rPr>
        <w:t xml:space="preserve">to </w:t>
      </w:r>
      <w:r w:rsidR="005F2C79">
        <w:rPr>
          <w:rFonts w:ascii="Times New Roman" w:hAnsi="Times New Roman"/>
        </w:rPr>
        <w:t>more than</w:t>
      </w:r>
      <w:r w:rsidRPr="001823D0">
        <w:rPr>
          <w:rFonts w:ascii="Times New Roman" w:hAnsi="Times New Roman"/>
        </w:rPr>
        <w:t xml:space="preserve"> $2 million with the average LEED building being just over one half million square feet.  </w:t>
      </w:r>
      <w:r>
        <w:rPr>
          <w:rFonts w:ascii="Times New Roman" w:hAnsi="Times New Roman"/>
        </w:rPr>
        <w:t>Expected pa</w:t>
      </w:r>
      <w:r w:rsidR="005F2C79">
        <w:rPr>
          <w:rFonts w:ascii="Times New Roman" w:hAnsi="Times New Roman"/>
        </w:rPr>
        <w:t xml:space="preserve">ybacks are provided in Exhibit </w:t>
      </w:r>
      <w:r w:rsidR="002C7368">
        <w:rPr>
          <w:rFonts w:ascii="Times New Roman" w:hAnsi="Times New Roman"/>
        </w:rPr>
        <w:t>5</w:t>
      </w:r>
      <w:r w:rsidR="005F2C79">
        <w:rPr>
          <w:rFonts w:ascii="Times New Roman" w:hAnsi="Times New Roman"/>
        </w:rPr>
        <w:t>.</w:t>
      </w:r>
      <w:r>
        <w:rPr>
          <w:rFonts w:ascii="Times New Roman" w:hAnsi="Times New Roman"/>
        </w:rPr>
        <w:t xml:space="preserve"> This</w:t>
      </w:r>
      <w:r w:rsidR="005F2C79">
        <w:rPr>
          <w:rFonts w:ascii="Times New Roman" w:hAnsi="Times New Roman"/>
        </w:rPr>
        <w:t xml:space="preserve"> simple</w:t>
      </w:r>
      <w:r>
        <w:rPr>
          <w:rFonts w:ascii="Times New Roman" w:hAnsi="Times New Roman"/>
        </w:rPr>
        <w:t xml:space="preserve"> measure </w:t>
      </w:r>
      <w:r w:rsidR="005F2C79">
        <w:rPr>
          <w:rFonts w:ascii="Times New Roman" w:hAnsi="Times New Roman"/>
        </w:rPr>
        <w:t xml:space="preserve">of financial performance </w:t>
      </w:r>
      <w:r>
        <w:rPr>
          <w:rFonts w:ascii="Times New Roman" w:hAnsi="Times New Roman"/>
        </w:rPr>
        <w:t>is quite common among the engineers and contractors e</w:t>
      </w:r>
      <w:r w:rsidR="005F2C79">
        <w:rPr>
          <w:rFonts w:ascii="Times New Roman" w:hAnsi="Times New Roman"/>
        </w:rPr>
        <w:t>ngaged in building renovations.</w:t>
      </w:r>
      <w:r>
        <w:rPr>
          <w:rFonts w:ascii="Times New Roman" w:hAnsi="Times New Roman"/>
        </w:rPr>
        <w:t xml:space="preserve"> We note that the most typical </w:t>
      </w:r>
      <w:r w:rsidR="005F2C79">
        <w:rPr>
          <w:rFonts w:ascii="Times New Roman" w:hAnsi="Times New Roman"/>
        </w:rPr>
        <w:t>payback</w:t>
      </w:r>
      <w:r>
        <w:rPr>
          <w:rFonts w:ascii="Times New Roman" w:hAnsi="Times New Roman"/>
        </w:rPr>
        <w:t xml:space="preserve"> is fairly quick</w:t>
      </w:r>
      <w:r w:rsidR="005F2C79">
        <w:rPr>
          <w:rFonts w:ascii="Times New Roman" w:hAnsi="Times New Roman"/>
        </w:rPr>
        <w:t>,</w:t>
      </w:r>
      <w:r>
        <w:rPr>
          <w:rFonts w:ascii="Times New Roman" w:hAnsi="Times New Roman"/>
        </w:rPr>
        <w:t xml:space="preserve"> at less t</w:t>
      </w:r>
      <w:r w:rsidR="005F2C79">
        <w:rPr>
          <w:rFonts w:ascii="Times New Roman" w:hAnsi="Times New Roman"/>
        </w:rPr>
        <w:t>han 5 years.  This reflects the preference of commercial building owners for “quick wins,” rather than most aggressive, deep retrofits. About one-third of the respondents expect a payback period between 5-10 years, whereas the financial implications of the investments are unclear for some 13 percent of the respondents.</w:t>
      </w:r>
    </w:p>
    <w:p w:rsidR="00A321D8" w:rsidRPr="005F2C79" w:rsidRDefault="005F2C79" w:rsidP="008E3ACE">
      <w:pPr>
        <w:spacing w:line="360" w:lineRule="auto"/>
        <w:ind w:firstLine="720"/>
        <w:jc w:val="both"/>
        <w:rPr>
          <w:rFonts w:ascii="Times New Roman" w:hAnsi="Times New Roman"/>
        </w:rPr>
      </w:pPr>
      <w:r>
        <w:rPr>
          <w:rFonts w:ascii="Times New Roman" w:hAnsi="Times New Roman"/>
        </w:rPr>
        <w:t>We then asked respondents to compare the current rental level in their LEED-certified building, as compared to the rental level</w:t>
      </w:r>
      <w:r w:rsidR="00A321D8">
        <w:rPr>
          <w:rFonts w:ascii="Times New Roman" w:hAnsi="Times New Roman"/>
        </w:rPr>
        <w:t xml:space="preserve"> prior to the renovation.  </w:t>
      </w:r>
      <w:r>
        <w:rPr>
          <w:rFonts w:ascii="Times New Roman" w:hAnsi="Times New Roman"/>
        </w:rPr>
        <w:t xml:space="preserve">The results in Exhibit </w:t>
      </w:r>
      <w:r w:rsidR="002C7368">
        <w:rPr>
          <w:rFonts w:ascii="Times New Roman" w:hAnsi="Times New Roman"/>
        </w:rPr>
        <w:t>6</w:t>
      </w:r>
      <w:r w:rsidR="00A321D8">
        <w:rPr>
          <w:rFonts w:ascii="Times New Roman" w:hAnsi="Times New Roman"/>
        </w:rPr>
        <w:t xml:space="preserve"> </w:t>
      </w:r>
      <w:r>
        <w:rPr>
          <w:rFonts w:ascii="Times New Roman" w:hAnsi="Times New Roman"/>
        </w:rPr>
        <w:t>show that</w:t>
      </w:r>
      <w:r w:rsidR="00A321D8">
        <w:rPr>
          <w:rFonts w:ascii="Times New Roman" w:hAnsi="Times New Roman"/>
        </w:rPr>
        <w:t xml:space="preserve"> </w:t>
      </w:r>
      <w:r>
        <w:rPr>
          <w:rFonts w:ascii="Times New Roman" w:hAnsi="Times New Roman"/>
        </w:rPr>
        <w:t>56 percent perceived no change. (Given that</w:t>
      </w:r>
      <w:r w:rsidR="00A321D8">
        <w:rPr>
          <w:rFonts w:ascii="Times New Roman" w:hAnsi="Times New Roman"/>
        </w:rPr>
        <w:t xml:space="preserve"> </w:t>
      </w:r>
      <w:r>
        <w:rPr>
          <w:rFonts w:ascii="Times New Roman" w:hAnsi="Times New Roman"/>
        </w:rPr>
        <w:t>the survey was executed during</w:t>
      </w:r>
      <w:r w:rsidR="00A321D8">
        <w:rPr>
          <w:rFonts w:ascii="Times New Roman" w:hAnsi="Times New Roman"/>
        </w:rPr>
        <w:t xml:space="preserve"> a </w:t>
      </w:r>
      <w:r>
        <w:rPr>
          <w:rFonts w:ascii="Times New Roman" w:hAnsi="Times New Roman"/>
        </w:rPr>
        <w:t xml:space="preserve">period of declining rents, </w:t>
      </w:r>
      <w:r w:rsidR="00A321D8">
        <w:rPr>
          <w:rFonts w:ascii="Times New Roman" w:hAnsi="Times New Roman"/>
        </w:rPr>
        <w:t>“</w:t>
      </w:r>
      <w:r>
        <w:rPr>
          <w:rFonts w:ascii="Times New Roman" w:hAnsi="Times New Roman"/>
        </w:rPr>
        <w:t>n</w:t>
      </w:r>
      <w:r w:rsidR="00A321D8">
        <w:rPr>
          <w:rFonts w:ascii="Times New Roman" w:hAnsi="Times New Roman"/>
        </w:rPr>
        <w:t xml:space="preserve">o change” is not </w:t>
      </w:r>
      <w:r>
        <w:rPr>
          <w:rFonts w:ascii="Times New Roman" w:hAnsi="Times New Roman"/>
        </w:rPr>
        <w:t xml:space="preserve">necessarily </w:t>
      </w:r>
      <w:r w:rsidR="00A321D8">
        <w:rPr>
          <w:rFonts w:ascii="Times New Roman" w:hAnsi="Times New Roman"/>
        </w:rPr>
        <w:t>bad</w:t>
      </w:r>
      <w:r>
        <w:rPr>
          <w:rFonts w:ascii="Times New Roman" w:hAnsi="Times New Roman"/>
        </w:rPr>
        <w:t xml:space="preserve"> news).  Twenty-one</w:t>
      </w:r>
      <w:r w:rsidR="00A321D8">
        <w:rPr>
          <w:rFonts w:ascii="Times New Roman" w:hAnsi="Times New Roman"/>
        </w:rPr>
        <w:t xml:space="preserve"> percent </w:t>
      </w:r>
      <w:r>
        <w:rPr>
          <w:rFonts w:ascii="Times New Roman" w:hAnsi="Times New Roman"/>
        </w:rPr>
        <w:t>of the respondents</w:t>
      </w:r>
      <w:r w:rsidR="00A321D8">
        <w:rPr>
          <w:rFonts w:ascii="Times New Roman" w:hAnsi="Times New Roman"/>
        </w:rPr>
        <w:t xml:space="preserve"> estimate</w:t>
      </w:r>
      <w:r>
        <w:rPr>
          <w:rFonts w:ascii="Times New Roman" w:hAnsi="Times New Roman"/>
        </w:rPr>
        <w:t>d</w:t>
      </w:r>
      <w:r w:rsidR="00A321D8">
        <w:rPr>
          <w:rFonts w:ascii="Times New Roman" w:hAnsi="Times New Roman"/>
        </w:rPr>
        <w:t xml:space="preserve"> the change in rents </w:t>
      </w:r>
      <w:r>
        <w:rPr>
          <w:rFonts w:ascii="Times New Roman" w:hAnsi="Times New Roman"/>
        </w:rPr>
        <w:t>to be between one and five percent</w:t>
      </w:r>
      <w:r w:rsidR="00A321D8">
        <w:rPr>
          <w:rFonts w:ascii="Times New Roman" w:hAnsi="Times New Roman"/>
        </w:rPr>
        <w:t>.</w:t>
      </w:r>
      <w:r>
        <w:rPr>
          <w:rFonts w:ascii="Times New Roman" w:hAnsi="Times New Roman"/>
        </w:rPr>
        <w:t xml:space="preserve"> And a small number of respondents noticed rent increases of more than ten percent.</w:t>
      </w:r>
      <w:r w:rsidR="00A321D8">
        <w:rPr>
          <w:rFonts w:ascii="Times New Roman" w:hAnsi="Times New Roman"/>
        </w:rPr>
        <w:t xml:space="preserve">  </w:t>
      </w:r>
    </w:p>
    <w:p w:rsidR="00A321D8" w:rsidRPr="001823D0" w:rsidRDefault="00A321D8" w:rsidP="00C519F5">
      <w:pPr>
        <w:spacing w:line="360" w:lineRule="auto"/>
        <w:jc w:val="both"/>
        <w:rPr>
          <w:rFonts w:ascii="Times New Roman" w:hAnsi="Times New Roman"/>
          <w:b/>
        </w:rPr>
      </w:pPr>
    </w:p>
    <w:p w:rsidR="002A6C68" w:rsidRDefault="000F0609" w:rsidP="00C519F5">
      <w:pPr>
        <w:numPr>
          <w:ilvl w:val="0"/>
          <w:numId w:val="5"/>
        </w:numPr>
        <w:spacing w:line="360" w:lineRule="auto"/>
        <w:jc w:val="both"/>
        <w:rPr>
          <w:rFonts w:ascii="Times New Roman" w:hAnsi="Times New Roman"/>
          <w:b/>
        </w:rPr>
      </w:pPr>
      <w:r>
        <w:rPr>
          <w:rFonts w:ascii="Times New Roman" w:hAnsi="Times New Roman"/>
          <w:b/>
        </w:rPr>
        <w:t xml:space="preserve">Digging </w:t>
      </w:r>
      <w:r w:rsidR="005F2C79">
        <w:rPr>
          <w:rFonts w:ascii="Times New Roman" w:hAnsi="Times New Roman"/>
          <w:b/>
        </w:rPr>
        <w:t>D</w:t>
      </w:r>
      <w:r>
        <w:rPr>
          <w:rFonts w:ascii="Times New Roman" w:hAnsi="Times New Roman"/>
          <w:b/>
        </w:rPr>
        <w:t xml:space="preserve">eeper: </w:t>
      </w:r>
      <w:r w:rsidR="00CA0DFA">
        <w:rPr>
          <w:rFonts w:ascii="Times New Roman" w:hAnsi="Times New Roman"/>
          <w:b/>
        </w:rPr>
        <w:t>Analytical</w:t>
      </w:r>
      <w:r>
        <w:rPr>
          <w:rFonts w:ascii="Times New Roman" w:hAnsi="Times New Roman"/>
          <w:b/>
        </w:rPr>
        <w:t xml:space="preserve"> </w:t>
      </w:r>
      <w:r w:rsidR="005F2C79">
        <w:rPr>
          <w:rFonts w:ascii="Times New Roman" w:hAnsi="Times New Roman"/>
          <w:b/>
        </w:rPr>
        <w:t>R</w:t>
      </w:r>
      <w:r>
        <w:rPr>
          <w:rFonts w:ascii="Times New Roman" w:hAnsi="Times New Roman"/>
          <w:b/>
        </w:rPr>
        <w:t>esults</w:t>
      </w:r>
    </w:p>
    <w:p w:rsidR="00123378" w:rsidRDefault="00123378" w:rsidP="00123378">
      <w:pPr>
        <w:numPr>
          <w:ilvl w:val="0"/>
          <w:numId w:val="6"/>
        </w:numPr>
        <w:spacing w:line="360" w:lineRule="auto"/>
        <w:ind w:left="720" w:hanging="720"/>
        <w:jc w:val="both"/>
        <w:rPr>
          <w:rFonts w:ascii="Times New Roman" w:hAnsi="Times New Roman"/>
          <w:b/>
        </w:rPr>
      </w:pPr>
      <w:r>
        <w:rPr>
          <w:rFonts w:ascii="Times New Roman" w:hAnsi="Times New Roman"/>
          <w:b/>
        </w:rPr>
        <w:t>Aggregate Trends in Rents and Occupancy Rates</w:t>
      </w:r>
    </w:p>
    <w:p w:rsidR="00123378" w:rsidRPr="00123378" w:rsidRDefault="00123378" w:rsidP="00123378">
      <w:pPr>
        <w:spacing w:line="360" w:lineRule="auto"/>
        <w:ind w:left="720"/>
        <w:jc w:val="both"/>
        <w:rPr>
          <w:rFonts w:ascii="Times New Roman" w:hAnsi="Times New Roman"/>
          <w:b/>
        </w:rPr>
      </w:pPr>
    </w:p>
    <w:p w:rsidR="00123378" w:rsidRDefault="00123378" w:rsidP="00123378">
      <w:pPr>
        <w:spacing w:line="360" w:lineRule="auto"/>
        <w:ind w:firstLine="720"/>
        <w:jc w:val="both"/>
        <w:rPr>
          <w:rFonts w:ascii="Times New Roman" w:hAnsi="Times New Roman"/>
        </w:rPr>
      </w:pPr>
      <w:r>
        <w:rPr>
          <w:rFonts w:ascii="Times New Roman" w:hAnsi="Times New Roman"/>
        </w:rPr>
        <w:t xml:space="preserve">Of course, we can </w:t>
      </w:r>
      <w:r w:rsidR="00CA0DFA">
        <w:rPr>
          <w:rFonts w:ascii="Times New Roman" w:hAnsi="Times New Roman"/>
        </w:rPr>
        <w:t xml:space="preserve">also </w:t>
      </w:r>
      <w:r>
        <w:rPr>
          <w:rFonts w:ascii="Times New Roman" w:hAnsi="Times New Roman"/>
        </w:rPr>
        <w:t xml:space="preserve">measure changes in rents </w:t>
      </w:r>
      <w:r w:rsidR="00CA0DFA">
        <w:rPr>
          <w:rFonts w:ascii="Times New Roman" w:hAnsi="Times New Roman"/>
        </w:rPr>
        <w:t xml:space="preserve">and occupancy rates </w:t>
      </w:r>
      <w:r>
        <w:rPr>
          <w:rFonts w:ascii="Times New Roman" w:hAnsi="Times New Roman"/>
        </w:rPr>
        <w:t xml:space="preserve">directly. Aggregate rental indices are provided in Panel A of Exhibit </w:t>
      </w:r>
      <w:r w:rsidR="002C7368">
        <w:rPr>
          <w:rFonts w:ascii="Times New Roman" w:hAnsi="Times New Roman"/>
        </w:rPr>
        <w:t>7</w:t>
      </w:r>
      <w:r>
        <w:rPr>
          <w:rFonts w:ascii="Times New Roman" w:hAnsi="Times New Roman"/>
        </w:rPr>
        <w:t xml:space="preserve"> and average occupancy rates are provided in Panel B of Exhibit 7 for both the EBOM and control samples. </w:t>
      </w:r>
      <w:r w:rsidR="00706E5F">
        <w:rPr>
          <w:rFonts w:ascii="Times New Roman" w:hAnsi="Times New Roman"/>
        </w:rPr>
        <w:t>T</w:t>
      </w:r>
      <w:r>
        <w:rPr>
          <w:rFonts w:ascii="Times New Roman" w:hAnsi="Times New Roman"/>
        </w:rPr>
        <w:t xml:space="preserve">he period prior to renovation </w:t>
      </w:r>
      <w:r w:rsidR="00706E5F">
        <w:rPr>
          <w:rFonts w:ascii="Times New Roman" w:hAnsi="Times New Roman"/>
        </w:rPr>
        <w:t>is before 2005</w:t>
      </w:r>
      <w:r w:rsidR="002A5760">
        <w:rPr>
          <w:rFonts w:ascii="Times New Roman" w:hAnsi="Times New Roman"/>
        </w:rPr>
        <w:t xml:space="preserve"> and depicted in red. M</w:t>
      </w:r>
      <w:r w:rsidR="00706E5F">
        <w:rPr>
          <w:rFonts w:ascii="Times New Roman" w:hAnsi="Times New Roman"/>
        </w:rPr>
        <w:t>ost</w:t>
      </w:r>
      <w:r>
        <w:rPr>
          <w:rFonts w:ascii="Times New Roman" w:hAnsi="Times New Roman"/>
        </w:rPr>
        <w:t xml:space="preserve"> improvements were complete</w:t>
      </w:r>
      <w:r w:rsidR="00706E5F">
        <w:rPr>
          <w:rFonts w:ascii="Times New Roman" w:hAnsi="Times New Roman"/>
        </w:rPr>
        <w:t>d after 2005 (</w:t>
      </w:r>
      <w:r>
        <w:rPr>
          <w:rFonts w:ascii="Times New Roman" w:hAnsi="Times New Roman"/>
        </w:rPr>
        <w:t xml:space="preserve">although </w:t>
      </w:r>
      <w:r w:rsidR="00706E5F">
        <w:rPr>
          <w:rFonts w:ascii="Times New Roman" w:hAnsi="Times New Roman"/>
        </w:rPr>
        <w:t xml:space="preserve">some </w:t>
      </w:r>
      <w:r>
        <w:rPr>
          <w:rFonts w:ascii="Times New Roman" w:hAnsi="Times New Roman"/>
        </w:rPr>
        <w:t>improvements continued throu</w:t>
      </w:r>
      <w:r w:rsidR="00706E5F">
        <w:rPr>
          <w:rFonts w:ascii="Times New Roman" w:hAnsi="Times New Roman"/>
        </w:rPr>
        <w:t>ghout the time period after that)</w:t>
      </w:r>
      <w:r w:rsidR="002A5760">
        <w:rPr>
          <w:rFonts w:ascii="Times New Roman" w:hAnsi="Times New Roman"/>
        </w:rPr>
        <w:t xml:space="preserve"> and this period is depicted in green</w:t>
      </w:r>
      <w:r>
        <w:rPr>
          <w:rFonts w:ascii="Times New Roman" w:hAnsi="Times New Roman"/>
        </w:rPr>
        <w:t xml:space="preserve">. Note that the rents on the renovated property were lower as compared to rents in the control sample prior to the renovation. Similarly the occupancy rates prior to the renovations were lower than for the control sample. Of significance is the fact that average rents increased faster than for the control group through 2008. While premiums were maintained for the buildings certified by LEED for Existing Buildings, the rents declined after 2008 at about the same rates as for the control sample. This result is similar to finding by Eichholtz et al. </w:t>
      </w:r>
      <w:r>
        <w:rPr>
          <w:rFonts w:ascii="Times New Roman" w:hAnsi="Times New Roman"/>
        </w:rPr>
        <w:fldChar w:fldCharType="begin"/>
      </w:r>
      <w:r>
        <w:rPr>
          <w:rFonts w:ascii="Times New Roman" w:hAnsi="Times New Roman"/>
        </w:rPr>
        <w:instrText xml:space="preserve"> ADDIN EN.CITE &lt;EndNote&gt;&lt;Cite ExcludeAuth="1"&gt;&lt;Author&gt;Eichholtz&lt;/Author&gt;&lt;Year&gt;in press&lt;/Year&gt;&lt;RecNum&gt;427&lt;/RecNum&gt;&lt;DisplayText&gt;(in press)&lt;/DisplayText&gt;&lt;record&gt;&lt;rec-number&gt;427&lt;/rec-number&gt;&lt;foreign-keys&gt;&lt;key app="EN" db-id="f2ar0z95bxfes4exf9l5s2sftaat5efvvz9a"&gt;427&lt;/key&gt;&lt;/foreign-keys&gt;&lt;ref-type name="Journal Article"&gt;17&lt;/ref-type&gt;&lt;contributors&gt;&lt;authors&gt;&lt;author&gt;Eichholtz, Piet M.A.&lt;/author&gt;&lt;author&gt;Kok, Nils&lt;/author&gt;&lt;author&gt;Quigley, John M.&lt;/author&gt;&lt;/authors&gt;&lt;/contributors&gt;&lt;titles&gt;&lt;title&gt;The Economics of Green Building&lt;/title&gt;&lt;secondary-title&gt;Review of Economics and Statistics&lt;/secondary-title&gt;&lt;/titles&gt;&lt;dates&gt;&lt;year&gt;in press&lt;/year&gt;&lt;/dates&gt;&lt;urls&gt;&lt;/urls&gt;&lt;/record&gt;&lt;/Cite&gt;&lt;/EndNote&gt;</w:instrText>
      </w:r>
      <w:r>
        <w:rPr>
          <w:rFonts w:ascii="Times New Roman" w:hAnsi="Times New Roman"/>
        </w:rPr>
        <w:fldChar w:fldCharType="separate"/>
      </w:r>
      <w:r>
        <w:rPr>
          <w:rFonts w:ascii="Times New Roman" w:hAnsi="Times New Roman"/>
          <w:noProof/>
        </w:rPr>
        <w:t>(</w:t>
      </w:r>
      <w:hyperlink w:anchor="_ENREF_4" w:tooltip="Eichholtz, in press #427" w:history="1">
        <w:r w:rsidR="00133E9A">
          <w:rPr>
            <w:rFonts w:ascii="Times New Roman" w:hAnsi="Times New Roman"/>
            <w:noProof/>
          </w:rPr>
          <w:t>in press</w:t>
        </w:r>
      </w:hyperlink>
      <w:r>
        <w:rPr>
          <w:rFonts w:ascii="Times New Roman" w:hAnsi="Times New Roman"/>
          <w:noProof/>
        </w:rPr>
        <w:t>)</w:t>
      </w:r>
      <w:r>
        <w:rPr>
          <w:rFonts w:ascii="Times New Roman" w:hAnsi="Times New Roman"/>
        </w:rPr>
        <w:fldChar w:fldCharType="end"/>
      </w:r>
      <w:r>
        <w:rPr>
          <w:rFonts w:ascii="Times New Roman" w:hAnsi="Times New Roman"/>
        </w:rPr>
        <w:t xml:space="preserve"> We document that the occupancy gap narrowed after the improvements but never completely dissipated during the rather soft rental period from 2007 through 2010.  </w:t>
      </w:r>
    </w:p>
    <w:p w:rsidR="00123378" w:rsidRDefault="00123378" w:rsidP="00123378">
      <w:pPr>
        <w:spacing w:line="360" w:lineRule="auto"/>
        <w:ind w:firstLine="720"/>
        <w:jc w:val="both"/>
        <w:rPr>
          <w:rFonts w:ascii="Times New Roman" w:hAnsi="Times New Roman"/>
        </w:rPr>
      </w:pPr>
      <w:r>
        <w:rPr>
          <w:rFonts w:ascii="Times New Roman" w:hAnsi="Times New Roman"/>
        </w:rPr>
        <w:t xml:space="preserve">Of course, rental and occupancy rates vary by market, and we provide more details on individual markets in Exhibit </w:t>
      </w:r>
      <w:r w:rsidR="002C7368">
        <w:rPr>
          <w:rFonts w:ascii="Times New Roman" w:hAnsi="Times New Roman"/>
        </w:rPr>
        <w:t>8,</w:t>
      </w:r>
      <w:r>
        <w:rPr>
          <w:rFonts w:ascii="Times New Roman" w:hAnsi="Times New Roman"/>
        </w:rPr>
        <w:t xml:space="preserve"> for the 14 markets studied here. Significant rental premiums are observed in the major markets of Washington, D.C., New York City and Boston. Occupancy rates strongly depend on when the LEED buildings came “on line;” with many of the LEED buildings being renovated during a period of decline, we continue to observe lower occupancy rates for “green” buildings in quite a few markets. </w:t>
      </w:r>
    </w:p>
    <w:p w:rsidR="00123378" w:rsidRDefault="00123378" w:rsidP="00123378">
      <w:pPr>
        <w:spacing w:line="360" w:lineRule="auto"/>
        <w:ind w:firstLine="720"/>
        <w:jc w:val="both"/>
        <w:rPr>
          <w:rFonts w:ascii="Times New Roman" w:hAnsi="Times New Roman"/>
          <w:lang w:bidi="en-US"/>
        </w:rPr>
      </w:pPr>
    </w:p>
    <w:p w:rsidR="00123378" w:rsidRPr="00801F9A" w:rsidRDefault="00123378" w:rsidP="00801F9A">
      <w:pPr>
        <w:numPr>
          <w:ilvl w:val="0"/>
          <w:numId w:val="6"/>
        </w:numPr>
        <w:tabs>
          <w:tab w:val="left" w:pos="720"/>
        </w:tabs>
        <w:spacing w:line="360" w:lineRule="auto"/>
        <w:jc w:val="both"/>
        <w:rPr>
          <w:rFonts w:ascii="Times New Roman" w:hAnsi="Times New Roman"/>
          <w:b/>
          <w:lang w:bidi="en-US"/>
        </w:rPr>
      </w:pPr>
      <w:r w:rsidRPr="00123378">
        <w:rPr>
          <w:rFonts w:ascii="Times New Roman" w:hAnsi="Times New Roman"/>
          <w:b/>
          <w:lang w:bidi="en-US"/>
        </w:rPr>
        <w:t>Regression Analysis</w:t>
      </w:r>
    </w:p>
    <w:p w:rsidR="002A6C68" w:rsidRPr="002A6C68" w:rsidRDefault="002A6C68" w:rsidP="00123378">
      <w:pPr>
        <w:spacing w:line="360" w:lineRule="auto"/>
        <w:ind w:firstLine="720"/>
        <w:jc w:val="both"/>
        <w:rPr>
          <w:rFonts w:ascii="Times New Roman" w:hAnsi="Times New Roman"/>
          <w:lang w:bidi="en-US"/>
        </w:rPr>
      </w:pPr>
      <w:r w:rsidRPr="002A6C68">
        <w:rPr>
          <w:rFonts w:ascii="Times New Roman" w:hAnsi="Times New Roman"/>
          <w:lang w:bidi="en-US"/>
        </w:rPr>
        <w:t xml:space="preserve">To </w:t>
      </w:r>
      <w:r w:rsidR="00123378">
        <w:rPr>
          <w:rFonts w:ascii="Times New Roman" w:hAnsi="Times New Roman"/>
          <w:lang w:bidi="en-US"/>
        </w:rPr>
        <w:t xml:space="preserve">more formally </w:t>
      </w:r>
      <w:r w:rsidRPr="002A6C68">
        <w:rPr>
          <w:rFonts w:ascii="Times New Roman" w:hAnsi="Times New Roman"/>
          <w:lang w:bidi="en-US"/>
        </w:rPr>
        <w:t xml:space="preserve">investigate how </w:t>
      </w:r>
      <w:r w:rsidR="00255CF6">
        <w:rPr>
          <w:rFonts w:ascii="Times New Roman" w:hAnsi="Times New Roman"/>
          <w:lang w:bidi="en-US"/>
        </w:rPr>
        <w:t>EBOM certification</w:t>
      </w:r>
      <w:r w:rsidRPr="002A6C68">
        <w:rPr>
          <w:rFonts w:ascii="Times New Roman" w:hAnsi="Times New Roman"/>
          <w:lang w:bidi="en-US"/>
        </w:rPr>
        <w:t xml:space="preserve"> influences the rent and </w:t>
      </w:r>
      <w:r w:rsidR="00255CF6">
        <w:rPr>
          <w:rFonts w:ascii="Times New Roman" w:hAnsi="Times New Roman"/>
          <w:lang w:bidi="en-US"/>
        </w:rPr>
        <w:t>occupancy</w:t>
      </w:r>
      <w:r w:rsidRPr="002A6C68">
        <w:rPr>
          <w:rFonts w:ascii="Times New Roman" w:hAnsi="Times New Roman"/>
          <w:lang w:bidi="en-US"/>
        </w:rPr>
        <w:t xml:space="preserve"> of commercial office buildings, we start with the standard valuation framework for commercial real estate. The sample of rated office buildings and the control sample consisting of nearby nonrated office buildings</w:t>
      </w:r>
      <w:r w:rsidR="00255CF6">
        <w:rPr>
          <w:rFonts w:ascii="Times New Roman" w:hAnsi="Times New Roman"/>
          <w:lang w:bidi="en-US"/>
        </w:rPr>
        <w:t xml:space="preserve"> in the same city</w:t>
      </w:r>
      <w:r w:rsidRPr="002A6C68">
        <w:rPr>
          <w:rFonts w:ascii="Times New Roman" w:hAnsi="Times New Roman"/>
          <w:lang w:bidi="en-US"/>
        </w:rPr>
        <w:t xml:space="preserve"> are used to estimate a semi</w:t>
      </w:r>
      <w:r w:rsidR="00255CF6">
        <w:rPr>
          <w:rFonts w:ascii="Times New Roman" w:hAnsi="Times New Roman"/>
          <w:lang w:bidi="en-US"/>
        </w:rPr>
        <w:t>-</w:t>
      </w:r>
      <w:r w:rsidRPr="002A6C68">
        <w:rPr>
          <w:rFonts w:ascii="Times New Roman" w:hAnsi="Times New Roman"/>
          <w:lang w:bidi="en-US"/>
        </w:rPr>
        <w:t xml:space="preserve">log equation relating office rents (or </w:t>
      </w:r>
      <w:r w:rsidR="00255CF6">
        <w:rPr>
          <w:rFonts w:ascii="Times New Roman" w:hAnsi="Times New Roman"/>
          <w:lang w:bidi="en-US"/>
        </w:rPr>
        <w:t>effective rents</w:t>
      </w:r>
      <w:r w:rsidRPr="002A6C68">
        <w:rPr>
          <w:rFonts w:ascii="Times New Roman" w:hAnsi="Times New Roman"/>
          <w:lang w:bidi="en-US"/>
        </w:rPr>
        <w:t>) per square foot to the hedonic characteristics of the buildings (e.g., age, building quality, amenities provided, etc.) and the location of each building:</w:t>
      </w:r>
    </w:p>
    <w:p w:rsidR="00123378" w:rsidRDefault="00123378" w:rsidP="00123378">
      <w:pPr>
        <w:spacing w:line="360" w:lineRule="auto"/>
        <w:ind w:firstLine="720"/>
        <w:jc w:val="both"/>
        <w:rPr>
          <w:rFonts w:ascii="Times New Roman" w:hAnsi="Times New Roman"/>
          <w:lang w:bidi="en-US"/>
        </w:rPr>
      </w:pPr>
    </w:p>
    <w:p w:rsidR="00992D0D" w:rsidRPr="001823D0" w:rsidRDefault="007238DF" w:rsidP="00123378">
      <w:pPr>
        <w:spacing w:line="360" w:lineRule="auto"/>
        <w:ind w:firstLine="720"/>
        <w:jc w:val="both"/>
        <w:rPr>
          <w:rFonts w:ascii="Times New Roman" w:hAnsi="Times New Roman"/>
          <w:lang w:bidi="en-US"/>
        </w:rPr>
      </w:pPr>
      <w:r>
        <w:rPr>
          <w:noProof/>
        </w:rPr>
        <w:drawing>
          <wp:anchor distT="0" distB="0" distL="114300" distR="114300" simplePos="0" relativeHeight="251657728" behindDoc="0" locked="0" layoutInCell="1" allowOverlap="1" wp14:anchorId="44FD2F3C" wp14:editId="4009D92E">
            <wp:simplePos x="0" y="0"/>
            <wp:positionH relativeFrom="column">
              <wp:posOffset>800100</wp:posOffset>
            </wp:positionH>
            <wp:positionV relativeFrom="paragraph">
              <wp:posOffset>-114300</wp:posOffset>
            </wp:positionV>
            <wp:extent cx="2232660" cy="436245"/>
            <wp:effectExtent l="0" t="0" r="254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0D" w:rsidRPr="001823D0">
        <w:rPr>
          <w:rFonts w:ascii="Times New Roman" w:hAnsi="Times New Roman"/>
          <w:lang w:bidi="en-US"/>
        </w:rPr>
        <w:t>(1)</w:t>
      </w:r>
      <w:r w:rsidR="00992D0D" w:rsidRPr="001823D0">
        <w:rPr>
          <w:rFonts w:ascii="Times New Roman" w:hAnsi="Times New Roman"/>
          <w:lang w:bidi="en-US"/>
        </w:rPr>
        <w:tab/>
      </w:r>
    </w:p>
    <w:p w:rsidR="00992D0D" w:rsidRPr="001823D0" w:rsidRDefault="00992D0D" w:rsidP="00C519F5">
      <w:pPr>
        <w:spacing w:line="360" w:lineRule="auto"/>
        <w:jc w:val="both"/>
        <w:rPr>
          <w:rFonts w:ascii="Times New Roman" w:hAnsi="Times New Roman"/>
          <w:lang w:bidi="en-US"/>
        </w:rPr>
      </w:pPr>
    </w:p>
    <w:p w:rsidR="00255CF6" w:rsidRDefault="00992D0D" w:rsidP="00C519F5">
      <w:pPr>
        <w:spacing w:line="360" w:lineRule="auto"/>
        <w:ind w:firstLine="720"/>
        <w:jc w:val="both"/>
        <w:rPr>
          <w:rFonts w:ascii="Times New Roman" w:hAnsi="Times New Roman"/>
        </w:rPr>
      </w:pPr>
      <w:r w:rsidRPr="001823D0">
        <w:rPr>
          <w:rFonts w:ascii="Times New Roman" w:hAnsi="Times New Roman"/>
          <w:lang w:bidi="en-US"/>
        </w:rPr>
        <w:t xml:space="preserve">In this formulation, </w:t>
      </w:r>
      <w:r w:rsidRPr="001823D0">
        <w:rPr>
          <w:rFonts w:ascii="Times New Roman" w:hAnsi="Times New Roman"/>
          <w:i/>
          <w:lang w:bidi="en-US"/>
        </w:rPr>
        <w:t>R</w:t>
      </w:r>
      <w:r w:rsidRPr="001823D0">
        <w:rPr>
          <w:rFonts w:ascii="Times New Roman" w:hAnsi="Times New Roman"/>
          <w:i/>
          <w:vertAlign w:val="subscript"/>
          <w:lang w:bidi="en-US"/>
        </w:rPr>
        <w:t>in</w:t>
      </w:r>
      <w:r w:rsidRPr="001823D0">
        <w:rPr>
          <w:rFonts w:ascii="Times New Roman" w:hAnsi="Times New Roman"/>
          <w:lang w:bidi="en-US"/>
        </w:rPr>
        <w:t xml:space="preserve"> is the contract rent (or </w:t>
      </w:r>
      <w:r w:rsidR="001823D0" w:rsidRPr="001823D0">
        <w:rPr>
          <w:rFonts w:ascii="Times New Roman" w:hAnsi="Times New Roman"/>
          <w:lang w:bidi="en-US"/>
        </w:rPr>
        <w:t>effective rent</w:t>
      </w:r>
      <w:r w:rsidRPr="001823D0">
        <w:rPr>
          <w:rFonts w:ascii="Times New Roman" w:hAnsi="Times New Roman"/>
          <w:lang w:bidi="en-US"/>
        </w:rPr>
        <w:t xml:space="preserve">) per square foot commanded by building </w:t>
      </w:r>
      <w:r w:rsidRPr="001823D0">
        <w:rPr>
          <w:rFonts w:ascii="Times New Roman" w:hAnsi="Times New Roman"/>
          <w:i/>
          <w:lang w:bidi="en-US"/>
        </w:rPr>
        <w:t>i</w:t>
      </w:r>
      <w:r w:rsidRPr="001823D0">
        <w:rPr>
          <w:rFonts w:ascii="Times New Roman" w:hAnsi="Times New Roman"/>
          <w:lang w:bidi="en-US"/>
        </w:rPr>
        <w:t xml:space="preserve"> in </w:t>
      </w:r>
      <w:r w:rsidR="001823D0" w:rsidRPr="001823D0">
        <w:rPr>
          <w:rFonts w:ascii="Times New Roman" w:hAnsi="Times New Roman"/>
          <w:lang w:bidi="en-US"/>
        </w:rPr>
        <w:t>city</w:t>
      </w:r>
      <w:r w:rsidRPr="001823D0">
        <w:rPr>
          <w:rFonts w:ascii="Times New Roman" w:hAnsi="Times New Roman"/>
          <w:lang w:bidi="en-US"/>
        </w:rPr>
        <w:t xml:space="preserve"> </w:t>
      </w:r>
      <w:r w:rsidRPr="001823D0">
        <w:rPr>
          <w:rFonts w:ascii="Times New Roman" w:hAnsi="Times New Roman"/>
          <w:i/>
          <w:lang w:bidi="en-US"/>
        </w:rPr>
        <w:t>n</w:t>
      </w:r>
      <w:r w:rsidRPr="001823D0">
        <w:rPr>
          <w:rFonts w:ascii="Times New Roman" w:hAnsi="Times New Roman"/>
          <w:lang w:bidi="en-US"/>
        </w:rPr>
        <w:t xml:space="preserve">; </w:t>
      </w:r>
      <w:r w:rsidRPr="001823D0">
        <w:rPr>
          <w:rFonts w:ascii="Times New Roman" w:hAnsi="Times New Roman"/>
          <w:i/>
          <w:lang w:bidi="en-US"/>
        </w:rPr>
        <w:t>X</w:t>
      </w:r>
      <w:r w:rsidRPr="001823D0">
        <w:rPr>
          <w:rFonts w:ascii="Times New Roman" w:hAnsi="Times New Roman"/>
          <w:i/>
          <w:vertAlign w:val="subscript"/>
          <w:lang w:bidi="en-US"/>
        </w:rPr>
        <w:t>i</w:t>
      </w:r>
      <w:r w:rsidRPr="001823D0">
        <w:rPr>
          <w:rFonts w:ascii="Times New Roman" w:hAnsi="Times New Roman"/>
          <w:lang w:bidi="en-US"/>
        </w:rPr>
        <w:t xml:space="preserve"> is the set of hedonic characteristics of building </w:t>
      </w:r>
      <w:r w:rsidRPr="001823D0">
        <w:rPr>
          <w:rFonts w:ascii="Times New Roman" w:hAnsi="Times New Roman"/>
          <w:i/>
          <w:lang w:bidi="en-US"/>
        </w:rPr>
        <w:t>i,</w:t>
      </w:r>
      <w:r w:rsidRPr="001823D0">
        <w:rPr>
          <w:rFonts w:ascii="Times New Roman" w:hAnsi="Times New Roman"/>
          <w:lang w:bidi="en-US"/>
        </w:rPr>
        <w:t xml:space="preserve"> and </w:t>
      </w:r>
      <w:r w:rsidRPr="001823D0">
        <w:rPr>
          <w:rFonts w:ascii="Times New Roman" w:hAnsi="Times New Roman"/>
          <w:i/>
          <w:lang w:bidi="en-US"/>
        </w:rPr>
        <w:sym w:font="Symbol" w:char="F065"/>
      </w:r>
      <w:r w:rsidRPr="001823D0">
        <w:rPr>
          <w:rFonts w:ascii="Times New Roman" w:hAnsi="Times New Roman"/>
          <w:i/>
          <w:vertAlign w:val="subscript"/>
          <w:lang w:bidi="en-US"/>
        </w:rPr>
        <w:t>in</w:t>
      </w:r>
      <w:r w:rsidRPr="001823D0">
        <w:rPr>
          <w:rFonts w:ascii="Times New Roman" w:hAnsi="Times New Roman"/>
          <w:lang w:bidi="en-US"/>
        </w:rPr>
        <w:t xml:space="preserve"> is an error term. To control more precisely for locational effects, we include a set of dummy variables, one for each of the N </w:t>
      </w:r>
      <w:r w:rsidR="00255CF6">
        <w:rPr>
          <w:rFonts w:ascii="Times New Roman" w:hAnsi="Times New Roman"/>
          <w:lang w:bidi="en-US"/>
        </w:rPr>
        <w:t>citi</w:t>
      </w:r>
      <w:r w:rsidR="001823D0" w:rsidRPr="001823D0">
        <w:rPr>
          <w:rFonts w:ascii="Times New Roman" w:hAnsi="Times New Roman"/>
          <w:lang w:bidi="en-US"/>
        </w:rPr>
        <w:t>es</w:t>
      </w:r>
      <w:r w:rsidRPr="001823D0">
        <w:rPr>
          <w:rFonts w:ascii="Times New Roman" w:hAnsi="Times New Roman"/>
          <w:lang w:bidi="en-US"/>
        </w:rPr>
        <w:t xml:space="preserve">. </w:t>
      </w:r>
      <w:r w:rsidRPr="001823D0">
        <w:rPr>
          <w:rFonts w:ascii="Times New Roman" w:hAnsi="Times New Roman"/>
          <w:i/>
          <w:lang w:bidi="en-US"/>
        </w:rPr>
        <w:t>c</w:t>
      </w:r>
      <w:r w:rsidRPr="001823D0">
        <w:rPr>
          <w:rFonts w:ascii="Times New Roman" w:hAnsi="Times New Roman"/>
          <w:i/>
          <w:vertAlign w:val="subscript"/>
          <w:lang w:bidi="en-US"/>
        </w:rPr>
        <w:t>n</w:t>
      </w:r>
      <w:r w:rsidRPr="001823D0">
        <w:rPr>
          <w:rFonts w:ascii="Times New Roman" w:hAnsi="Times New Roman"/>
          <w:lang w:bidi="en-US"/>
        </w:rPr>
        <w:t xml:space="preserve"> has a value of one if building </w:t>
      </w:r>
      <w:r w:rsidRPr="001823D0">
        <w:rPr>
          <w:rFonts w:ascii="Times New Roman" w:hAnsi="Times New Roman"/>
          <w:i/>
          <w:lang w:bidi="en-US"/>
        </w:rPr>
        <w:t>i</w:t>
      </w:r>
      <w:r w:rsidRPr="001823D0">
        <w:rPr>
          <w:rFonts w:ascii="Times New Roman" w:hAnsi="Times New Roman"/>
          <w:lang w:bidi="en-US"/>
        </w:rPr>
        <w:t xml:space="preserve"> is located in </w:t>
      </w:r>
      <w:r w:rsidR="001823D0" w:rsidRPr="001823D0">
        <w:rPr>
          <w:rFonts w:ascii="Times New Roman" w:hAnsi="Times New Roman"/>
          <w:lang w:bidi="en-US"/>
        </w:rPr>
        <w:t>city</w:t>
      </w:r>
      <w:r w:rsidRPr="001823D0">
        <w:rPr>
          <w:rFonts w:ascii="Times New Roman" w:hAnsi="Times New Roman"/>
          <w:lang w:bidi="en-US"/>
        </w:rPr>
        <w:t xml:space="preserve"> </w:t>
      </w:r>
      <w:r w:rsidRPr="001823D0">
        <w:rPr>
          <w:rFonts w:ascii="Times New Roman" w:hAnsi="Times New Roman"/>
          <w:i/>
          <w:lang w:bidi="en-US"/>
        </w:rPr>
        <w:t>n</w:t>
      </w:r>
      <w:r w:rsidRPr="001823D0">
        <w:rPr>
          <w:rFonts w:ascii="Times New Roman" w:hAnsi="Times New Roman"/>
          <w:lang w:bidi="en-US"/>
        </w:rPr>
        <w:t xml:space="preserve"> and zero otherwise. </w:t>
      </w:r>
      <w:r w:rsidRPr="001823D0">
        <w:rPr>
          <w:rFonts w:ascii="Times New Roman" w:hAnsi="Times New Roman"/>
          <w:i/>
          <w:lang w:bidi="en-US"/>
        </w:rPr>
        <w:t>g</w:t>
      </w:r>
      <w:r w:rsidRPr="001823D0">
        <w:rPr>
          <w:rFonts w:ascii="Times New Roman" w:hAnsi="Times New Roman"/>
          <w:i/>
          <w:vertAlign w:val="subscript"/>
          <w:lang w:bidi="en-US"/>
        </w:rPr>
        <w:t>i</w:t>
      </w:r>
      <w:r w:rsidRPr="001823D0">
        <w:rPr>
          <w:rFonts w:ascii="Times New Roman" w:hAnsi="Times New Roman"/>
          <w:lang w:bidi="en-US"/>
        </w:rPr>
        <w:t xml:space="preserve"> is a dummy variable with a value of one if building </w:t>
      </w:r>
      <w:r w:rsidRPr="001823D0">
        <w:rPr>
          <w:rFonts w:ascii="Times New Roman" w:hAnsi="Times New Roman"/>
          <w:i/>
          <w:lang w:bidi="en-US"/>
        </w:rPr>
        <w:t>i</w:t>
      </w:r>
      <w:r w:rsidRPr="001823D0">
        <w:rPr>
          <w:rFonts w:ascii="Times New Roman" w:hAnsi="Times New Roman"/>
          <w:lang w:bidi="en-US"/>
        </w:rPr>
        <w:t xml:space="preserve"> is rated by USGBC and zero otherwise. </w:t>
      </w:r>
      <w:r w:rsidRPr="001823D0">
        <w:rPr>
          <w:rFonts w:ascii="Times New Roman" w:hAnsi="Times New Roman"/>
          <w:i/>
          <w:lang w:bidi="en-US"/>
        </w:rPr>
        <w:sym w:font="Symbol" w:char="F061"/>
      </w:r>
      <w:r w:rsidRPr="001823D0">
        <w:rPr>
          <w:rFonts w:ascii="Times New Roman" w:hAnsi="Times New Roman"/>
          <w:lang w:bidi="en-US"/>
        </w:rPr>
        <w:t xml:space="preserve">, </w:t>
      </w:r>
      <w:r w:rsidRPr="001823D0">
        <w:rPr>
          <w:rFonts w:ascii="Times New Roman" w:hAnsi="Times New Roman"/>
          <w:i/>
          <w:lang w:bidi="en-US"/>
        </w:rPr>
        <w:sym w:font="Symbol" w:char="F062"/>
      </w:r>
      <w:r w:rsidRPr="001823D0">
        <w:rPr>
          <w:rFonts w:ascii="Times New Roman" w:hAnsi="Times New Roman"/>
          <w:i/>
          <w:vertAlign w:val="subscript"/>
          <w:lang w:bidi="en-US"/>
        </w:rPr>
        <w:t>i</w:t>
      </w:r>
      <w:r w:rsidRPr="001823D0">
        <w:rPr>
          <w:rFonts w:ascii="Times New Roman" w:hAnsi="Times New Roman"/>
          <w:lang w:bidi="en-US"/>
        </w:rPr>
        <w:t xml:space="preserve">, </w:t>
      </w:r>
      <w:r w:rsidRPr="001823D0">
        <w:rPr>
          <w:rFonts w:ascii="Times New Roman" w:hAnsi="Times New Roman"/>
          <w:i/>
          <w:lang w:bidi="en-US"/>
        </w:rPr>
        <w:sym w:font="Symbol" w:char="F067"/>
      </w:r>
      <w:r w:rsidRPr="001823D0">
        <w:rPr>
          <w:rFonts w:ascii="Times New Roman" w:hAnsi="Times New Roman"/>
          <w:i/>
          <w:vertAlign w:val="subscript"/>
          <w:lang w:bidi="en-US"/>
        </w:rPr>
        <w:t>n</w:t>
      </w:r>
      <w:r w:rsidRPr="001823D0">
        <w:rPr>
          <w:rFonts w:ascii="Times New Roman" w:hAnsi="Times New Roman"/>
          <w:lang w:bidi="en-US"/>
        </w:rPr>
        <w:t xml:space="preserve"> and </w:t>
      </w:r>
      <w:r w:rsidRPr="001823D0">
        <w:rPr>
          <w:rFonts w:ascii="Times New Roman" w:hAnsi="Times New Roman"/>
          <w:i/>
          <w:lang w:bidi="en-US"/>
        </w:rPr>
        <w:sym w:font="Symbol" w:char="F064"/>
      </w:r>
      <w:r w:rsidRPr="001823D0">
        <w:rPr>
          <w:rFonts w:ascii="Times New Roman" w:hAnsi="Times New Roman"/>
          <w:lang w:bidi="en-US"/>
        </w:rPr>
        <w:t xml:space="preserve"> are estimated coefficients. </w:t>
      </w:r>
      <w:r w:rsidRPr="001823D0">
        <w:rPr>
          <w:rFonts w:ascii="Times New Roman" w:hAnsi="Times New Roman"/>
          <w:i/>
          <w:lang w:bidi="en-US"/>
        </w:rPr>
        <w:sym w:font="Symbol" w:char="F064"/>
      </w:r>
      <w:r w:rsidRPr="001823D0">
        <w:rPr>
          <w:rFonts w:ascii="Times New Roman" w:hAnsi="Times New Roman"/>
          <w:lang w:bidi="en-US"/>
        </w:rPr>
        <w:t xml:space="preserve"> is thus the average premium, in percent, estimated for a labeled building rel</w:t>
      </w:r>
      <w:r w:rsidR="001823D0" w:rsidRPr="001823D0">
        <w:rPr>
          <w:rFonts w:ascii="Times New Roman" w:hAnsi="Times New Roman"/>
          <w:lang w:bidi="en-US"/>
        </w:rPr>
        <w:t>ative to those buildings in its</w:t>
      </w:r>
      <w:r w:rsidRPr="001823D0">
        <w:rPr>
          <w:rFonts w:ascii="Times New Roman" w:hAnsi="Times New Roman"/>
          <w:lang w:bidi="en-US"/>
        </w:rPr>
        <w:t xml:space="preserve"> geographic cluster.</w:t>
      </w:r>
      <w:r w:rsidR="00142850" w:rsidRPr="001823D0">
        <w:rPr>
          <w:rFonts w:ascii="Times New Roman" w:hAnsi="Times New Roman"/>
        </w:rPr>
        <w:tab/>
      </w:r>
    </w:p>
    <w:p w:rsidR="00255CF6" w:rsidRDefault="00AB3AC8" w:rsidP="00C519F5">
      <w:pPr>
        <w:spacing w:line="360" w:lineRule="auto"/>
        <w:ind w:firstLine="720"/>
        <w:jc w:val="both"/>
        <w:rPr>
          <w:rFonts w:ascii="Times New Roman" w:hAnsi="Times New Roman"/>
        </w:rPr>
      </w:pPr>
      <w:r>
        <w:rPr>
          <w:rFonts w:ascii="Times New Roman" w:hAnsi="Times New Roman"/>
        </w:rPr>
        <w:t xml:space="preserve">Exhibit </w:t>
      </w:r>
      <w:r w:rsidR="002C7368">
        <w:rPr>
          <w:rFonts w:ascii="Times New Roman" w:hAnsi="Times New Roman"/>
        </w:rPr>
        <w:t>9</w:t>
      </w:r>
      <w:r w:rsidR="00255CF6" w:rsidRPr="00255CF6">
        <w:rPr>
          <w:rFonts w:ascii="Times New Roman" w:hAnsi="Times New Roman"/>
        </w:rPr>
        <w:t xml:space="preserve"> presents the basic results for the sample, relating the logarithm of rent per square foot in commercial office buildings to a set of hedonic and other characteristics of the buildings. Results are presented for ordinary least squares regression models corrected for heteroskedasticity (Halbert White, 1980). Column (1) reports a basic model relating rent to building quality, measured</w:t>
      </w:r>
      <w:r w:rsidR="00255CF6">
        <w:rPr>
          <w:rFonts w:ascii="Times New Roman" w:hAnsi="Times New Roman"/>
        </w:rPr>
        <w:t xml:space="preserve"> by class designation, size, age and distance to public transportation. The regression, based upon 956</w:t>
      </w:r>
      <w:r w:rsidR="00255CF6" w:rsidRPr="00255CF6">
        <w:rPr>
          <w:rFonts w:ascii="Times New Roman" w:hAnsi="Times New Roman"/>
        </w:rPr>
        <w:t xml:space="preserve"> observations on buildings</w:t>
      </w:r>
      <w:r w:rsidR="00DE3846">
        <w:rPr>
          <w:rFonts w:ascii="Times New Roman" w:hAnsi="Times New Roman"/>
        </w:rPr>
        <w:t>,</w:t>
      </w:r>
      <w:r w:rsidR="00255CF6" w:rsidRPr="00255CF6">
        <w:rPr>
          <w:rFonts w:ascii="Times New Roman" w:hAnsi="Times New Roman"/>
        </w:rPr>
        <w:t xml:space="preserve"> explains some </w:t>
      </w:r>
      <w:r w:rsidR="00255CF6">
        <w:rPr>
          <w:rFonts w:ascii="Times New Roman" w:hAnsi="Times New Roman"/>
        </w:rPr>
        <w:t>63</w:t>
      </w:r>
      <w:r w:rsidR="00255CF6" w:rsidRPr="00255CF6">
        <w:rPr>
          <w:rFonts w:ascii="Times New Roman" w:hAnsi="Times New Roman"/>
        </w:rPr>
        <w:t xml:space="preserve"> percent of log rent</w:t>
      </w:r>
      <w:r w:rsidR="00255CF6">
        <w:rPr>
          <w:rFonts w:ascii="Times New Roman" w:hAnsi="Times New Roman"/>
        </w:rPr>
        <w:t>, which is comparable to similar studies in this field</w:t>
      </w:r>
      <w:r w:rsidR="00255CF6" w:rsidRPr="00255CF6">
        <w:rPr>
          <w:rFonts w:ascii="Times New Roman" w:hAnsi="Times New Roman"/>
        </w:rPr>
        <w:t xml:space="preserve">. Higher quality buildings, as measured by building class, command a substantial premium. Rent in a </w:t>
      </w:r>
      <w:r w:rsidR="00DE3846">
        <w:rPr>
          <w:rFonts w:ascii="Times New Roman" w:hAnsi="Times New Roman"/>
        </w:rPr>
        <w:t>C</w:t>
      </w:r>
      <w:r w:rsidR="00255CF6" w:rsidRPr="00255CF6">
        <w:rPr>
          <w:rFonts w:ascii="Times New Roman" w:hAnsi="Times New Roman"/>
        </w:rPr>
        <w:t xml:space="preserve">lass A building is about </w:t>
      </w:r>
      <w:r w:rsidR="00255CF6">
        <w:rPr>
          <w:rFonts w:ascii="Times New Roman" w:hAnsi="Times New Roman"/>
        </w:rPr>
        <w:t>12</w:t>
      </w:r>
      <w:r w:rsidR="00255CF6" w:rsidRPr="00255CF6">
        <w:rPr>
          <w:rFonts w:ascii="Times New Roman" w:hAnsi="Times New Roman"/>
        </w:rPr>
        <w:t xml:space="preserve"> percent higher than in a </w:t>
      </w:r>
      <w:r w:rsidR="00DE3846">
        <w:rPr>
          <w:rFonts w:ascii="Times New Roman" w:hAnsi="Times New Roman"/>
        </w:rPr>
        <w:t>C</w:t>
      </w:r>
      <w:r w:rsidR="00255CF6" w:rsidRPr="00255CF6">
        <w:rPr>
          <w:rFonts w:ascii="Times New Roman" w:hAnsi="Times New Roman"/>
        </w:rPr>
        <w:t xml:space="preserve">lass </w:t>
      </w:r>
      <w:r w:rsidR="00255CF6">
        <w:rPr>
          <w:rFonts w:ascii="Times New Roman" w:hAnsi="Times New Roman"/>
        </w:rPr>
        <w:t>B</w:t>
      </w:r>
      <w:r w:rsidR="00255CF6" w:rsidRPr="00255CF6">
        <w:rPr>
          <w:rFonts w:ascii="Times New Roman" w:hAnsi="Times New Roman"/>
        </w:rPr>
        <w:t xml:space="preserve"> building. Rent </w:t>
      </w:r>
      <w:r w:rsidR="00255CF6">
        <w:rPr>
          <w:rFonts w:ascii="Times New Roman" w:hAnsi="Times New Roman"/>
        </w:rPr>
        <w:t xml:space="preserve">is not </w:t>
      </w:r>
      <w:r w:rsidR="00255CF6" w:rsidRPr="00255CF6">
        <w:rPr>
          <w:rFonts w:ascii="Times New Roman" w:hAnsi="Times New Roman"/>
        </w:rPr>
        <w:t>significantly higher in larger buildings, as measured by</w:t>
      </w:r>
      <w:r w:rsidR="00255CF6">
        <w:rPr>
          <w:rFonts w:ascii="Times New Roman" w:hAnsi="Times New Roman"/>
        </w:rPr>
        <w:t xml:space="preserve"> the logarithm of building size. </w:t>
      </w:r>
      <w:r w:rsidR="00C313BE">
        <w:rPr>
          <w:rFonts w:ascii="Times New Roman" w:hAnsi="Times New Roman"/>
        </w:rPr>
        <w:t>D</w:t>
      </w:r>
      <w:r w:rsidR="00255CF6">
        <w:rPr>
          <w:rFonts w:ascii="Times New Roman" w:hAnsi="Times New Roman"/>
        </w:rPr>
        <w:t>istance to public transport, which represents an important element of “sustainability,” is negatively and significantly related to the rent co</w:t>
      </w:r>
      <w:r w:rsidR="00DE3846">
        <w:rPr>
          <w:rFonts w:ascii="Times New Roman" w:hAnsi="Times New Roman"/>
        </w:rPr>
        <w:t>mmanded by an office building: F</w:t>
      </w:r>
      <w:r w:rsidR="00255CF6">
        <w:rPr>
          <w:rFonts w:ascii="Times New Roman" w:hAnsi="Times New Roman"/>
        </w:rPr>
        <w:t>or each mile increase to public transport, location rents decrease by about 11 percent. This corroborates evidence from o</w:t>
      </w:r>
      <w:r w:rsidR="00255CF6" w:rsidRPr="00255CF6">
        <w:rPr>
          <w:rFonts w:ascii="Times New Roman" w:hAnsi="Times New Roman"/>
        </w:rPr>
        <w:t>ther st</w:t>
      </w:r>
      <w:r w:rsidR="00123378">
        <w:rPr>
          <w:rFonts w:ascii="Times New Roman" w:hAnsi="Times New Roman"/>
        </w:rPr>
        <w:t xml:space="preserve">udies on sustainability in the </w:t>
      </w:r>
      <w:r w:rsidR="00255CF6" w:rsidRPr="00255CF6">
        <w:rPr>
          <w:rFonts w:ascii="Times New Roman" w:hAnsi="Times New Roman"/>
        </w:rPr>
        <w:t xml:space="preserve">property market </w:t>
      </w:r>
      <w:r w:rsidR="00255CF6">
        <w:rPr>
          <w:rFonts w:ascii="Times New Roman" w:hAnsi="Times New Roman"/>
        </w:rPr>
        <w:t xml:space="preserve">that </w:t>
      </w:r>
      <w:r w:rsidR="00255CF6" w:rsidRPr="00255CF6">
        <w:rPr>
          <w:rFonts w:ascii="Times New Roman" w:hAnsi="Times New Roman"/>
        </w:rPr>
        <w:t xml:space="preserve">measured the impact of “green” aspects on building performance using density tools, like the Google “Walkability” Index. </w:t>
      </w:r>
      <w:r w:rsidR="00123378">
        <w:rPr>
          <w:rFonts w:ascii="Times New Roman" w:hAnsi="Times New Roman"/>
        </w:rPr>
        <w:t xml:space="preserve">For the Dutch office market, Kok and Jennen </w:t>
      </w:r>
      <w:r w:rsidR="00123378">
        <w:rPr>
          <w:rFonts w:ascii="Times New Roman" w:hAnsi="Times New Roman"/>
        </w:rPr>
        <w:fldChar w:fldCharType="begin"/>
      </w:r>
      <w:r w:rsidR="00123378">
        <w:rPr>
          <w:rFonts w:ascii="Times New Roman" w:hAnsi="Times New Roman"/>
        </w:rPr>
        <w:instrText xml:space="preserve"> ADDIN EN.CITE &lt;EndNote&gt;&lt;Cite ExcludeAuth="1"&gt;&lt;Author&gt;Kok&lt;/Author&gt;&lt;Year&gt;2012&lt;/Year&gt;&lt;RecNum&gt;573&lt;/RecNum&gt;&lt;DisplayText&gt;(2012)&lt;/DisplayText&gt;&lt;record&gt;&lt;rec-number&gt;573&lt;/rec-number&gt;&lt;foreign-keys&gt;&lt;key app="EN" db-id="f2ar0z95bxfes4exf9l5s2sftaat5efvvz9a"&gt;573&lt;/key&gt;&lt;/foreign-keys&gt;&lt;ref-type name="Journal Article"&gt;17&lt;/ref-type&gt;&lt;contributors&gt;&lt;authors&gt;&lt;author&gt;Kok, Nils&lt;/author&gt;&lt;author&gt;Jennen, Maarten G. J.&lt;/author&gt;&lt;/authors&gt;&lt;/contributors&gt;&lt;titles&gt;&lt;title&gt;The Impact of Energy Labels and Accessibility on Office Rents&lt;/title&gt;&lt;secondary-title&gt;Energy Policy&lt;/secondary-title&gt;&lt;/titles&gt;&lt;pages&gt;489-497&lt;/pages&gt;&lt;volume&gt;46&lt;/volume&gt;&lt;number&gt;July&lt;/number&gt;&lt;dates&gt;&lt;year&gt;2012&lt;/year&gt;&lt;/dates&gt;&lt;urls&gt;&lt;/urls&gt;&lt;/record&gt;&lt;/Cite&gt;&lt;/EndNote&gt;</w:instrText>
      </w:r>
      <w:r w:rsidR="00123378">
        <w:rPr>
          <w:rFonts w:ascii="Times New Roman" w:hAnsi="Times New Roman"/>
        </w:rPr>
        <w:fldChar w:fldCharType="separate"/>
      </w:r>
      <w:r w:rsidR="00123378">
        <w:rPr>
          <w:rFonts w:ascii="Times New Roman" w:hAnsi="Times New Roman"/>
          <w:noProof/>
        </w:rPr>
        <w:t>(</w:t>
      </w:r>
      <w:hyperlink w:anchor="_ENREF_7" w:tooltip="Kok, 2012 #573" w:history="1">
        <w:r w:rsidR="00133E9A">
          <w:rPr>
            <w:rFonts w:ascii="Times New Roman" w:hAnsi="Times New Roman"/>
            <w:noProof/>
          </w:rPr>
          <w:t>2012</w:t>
        </w:r>
      </w:hyperlink>
      <w:r w:rsidR="00123378">
        <w:rPr>
          <w:rFonts w:ascii="Times New Roman" w:hAnsi="Times New Roman"/>
          <w:noProof/>
        </w:rPr>
        <w:t>)</w:t>
      </w:r>
      <w:r w:rsidR="00123378">
        <w:rPr>
          <w:rFonts w:ascii="Times New Roman" w:hAnsi="Times New Roman"/>
        </w:rPr>
        <w:fldChar w:fldCharType="end"/>
      </w:r>
      <w:r w:rsidR="00123378">
        <w:rPr>
          <w:rFonts w:ascii="Times New Roman" w:hAnsi="Times New Roman"/>
        </w:rPr>
        <w:t xml:space="preserve"> document that a one-kilometer increase to a train station decreases rents by 13 percent. For the U.S. office market</w:t>
      </w:r>
      <w:r w:rsidR="00255CF6">
        <w:rPr>
          <w:rFonts w:ascii="Times New Roman" w:hAnsi="Times New Roman"/>
        </w:rPr>
        <w:t xml:space="preserve">, </w:t>
      </w:r>
      <w:r w:rsidR="00255CF6" w:rsidRPr="00255CF6">
        <w:rPr>
          <w:rFonts w:ascii="Times New Roman" w:hAnsi="Times New Roman"/>
        </w:rPr>
        <w:t xml:space="preserve">Pivo and Fisher </w:t>
      </w:r>
      <w:r w:rsidR="00255CF6" w:rsidRPr="00255CF6">
        <w:rPr>
          <w:rFonts w:ascii="Times New Roman" w:hAnsi="Times New Roman"/>
        </w:rPr>
        <w:fldChar w:fldCharType="begin"/>
      </w:r>
      <w:r w:rsidR="00255CF6" w:rsidRPr="00255CF6">
        <w:rPr>
          <w:rFonts w:ascii="Times New Roman" w:hAnsi="Times New Roman"/>
        </w:rPr>
        <w:instrText xml:space="preserve"> ADDIN EN.CITE &lt;EndNote&gt;&lt;Cite ExcludeAuth="1"&gt;&lt;Author&gt;Pivo&lt;/Author&gt;&lt;Year&gt;2011&lt;/Year&gt;&lt;RecNum&gt;18&lt;/RecNum&gt;&lt;DisplayText&gt;(2011)&lt;/DisplayText&gt;&lt;record&gt;&lt;rec-number&gt;18&lt;/rec-number&gt;&lt;foreign-keys&gt;&lt;key app="EN" db-id="vwdxs90dr9awfce5d9ep9f9tsftpdvx5adsr"&gt;18&lt;/key&gt;&lt;/foreign-keys&gt;&lt;ref-type name="Journal Article"&gt;17&lt;/ref-type&gt;&lt;contributors&gt;&lt;authors&gt;&lt;author&gt;Pivo, G.&lt;/author&gt;&lt;author&gt;Fisher, J.D.&lt;/author&gt;&lt;/authors&gt;&lt;/contributors&gt;&lt;titles&gt;&lt;title&gt;The walkability premium in commercial real estate investments&lt;/title&gt;&lt;secondary-title&gt;Real Estate Economics&lt;/secondary-title&gt;&lt;/titles&gt;&lt;periodical&gt;&lt;full-title&gt;Real Estate Economics&lt;/full-title&gt;&lt;abbr-1&gt;Real Estate Econ.&lt;/abbr-1&gt;&lt;/periodical&gt;&lt;pages&gt;185-219&lt;/pages&gt;&lt;volume&gt;39&lt;/volume&gt;&lt;number&gt;2&lt;/number&gt;&lt;dates&gt;&lt;year&gt;2011&lt;/year&gt;&lt;/dates&gt;&lt;isbn&gt;1540-6229&lt;/isbn&gt;&lt;urls&gt;&lt;/urls&gt;&lt;/record&gt;&lt;/Cite&gt;&lt;/EndNote&gt;</w:instrText>
      </w:r>
      <w:r w:rsidR="00255CF6" w:rsidRPr="00255CF6">
        <w:rPr>
          <w:rFonts w:ascii="Times New Roman" w:hAnsi="Times New Roman"/>
        </w:rPr>
        <w:fldChar w:fldCharType="separate"/>
      </w:r>
      <w:r w:rsidR="00255CF6" w:rsidRPr="00255CF6">
        <w:rPr>
          <w:rFonts w:ascii="Times New Roman" w:hAnsi="Times New Roman"/>
        </w:rPr>
        <w:t>(</w:t>
      </w:r>
      <w:hyperlink w:anchor="_ENREF_13" w:tooltip="Pivo, 2011 #18" w:history="1">
        <w:r w:rsidR="00133E9A" w:rsidRPr="00255CF6">
          <w:rPr>
            <w:rFonts w:ascii="Times New Roman" w:hAnsi="Times New Roman"/>
          </w:rPr>
          <w:t>2011</w:t>
        </w:r>
      </w:hyperlink>
      <w:r w:rsidR="00255CF6" w:rsidRPr="00255CF6">
        <w:rPr>
          <w:rFonts w:ascii="Times New Roman" w:hAnsi="Times New Roman"/>
        </w:rPr>
        <w:t>)</w:t>
      </w:r>
      <w:r w:rsidR="00255CF6" w:rsidRPr="00255CF6">
        <w:rPr>
          <w:rFonts w:ascii="Times New Roman" w:hAnsi="Times New Roman"/>
        </w:rPr>
        <w:fldChar w:fldCharType="end"/>
      </w:r>
      <w:r w:rsidR="00255CF6" w:rsidRPr="00255CF6">
        <w:rPr>
          <w:rFonts w:ascii="Times New Roman" w:hAnsi="Times New Roman"/>
        </w:rPr>
        <w:t xml:space="preserve"> use an index to calculate distances from commercial facilities to prominent and important neighborhood amenities. Results indicate that for every </w:t>
      </w:r>
      <w:r w:rsidR="00DE3846">
        <w:rPr>
          <w:rFonts w:ascii="Times New Roman" w:hAnsi="Times New Roman"/>
        </w:rPr>
        <w:t>10</w:t>
      </w:r>
      <w:r w:rsidR="00255CF6" w:rsidRPr="00255CF6">
        <w:rPr>
          <w:rFonts w:ascii="Times New Roman" w:hAnsi="Times New Roman"/>
        </w:rPr>
        <w:t>-point increase in “walkability,” property values increase</w:t>
      </w:r>
      <w:r w:rsidR="00255CF6">
        <w:rPr>
          <w:rFonts w:ascii="Times New Roman" w:hAnsi="Times New Roman"/>
        </w:rPr>
        <w:t xml:space="preserve"> by about </w:t>
      </w:r>
      <w:r w:rsidR="00DE3846">
        <w:rPr>
          <w:rFonts w:ascii="Times New Roman" w:hAnsi="Times New Roman"/>
        </w:rPr>
        <w:t>9</w:t>
      </w:r>
      <w:r w:rsidR="00255CF6">
        <w:rPr>
          <w:rFonts w:ascii="Times New Roman" w:hAnsi="Times New Roman"/>
        </w:rPr>
        <w:t xml:space="preserve"> percent, </w:t>
      </w:r>
      <w:r w:rsidR="00255CF6" w:rsidRPr="00255CF6">
        <w:rPr>
          <w:rFonts w:ascii="Times New Roman" w:hAnsi="Times New Roman"/>
        </w:rPr>
        <w:t>provid</w:t>
      </w:r>
      <w:r w:rsidR="00255CF6">
        <w:rPr>
          <w:rFonts w:ascii="Times New Roman" w:hAnsi="Times New Roman"/>
        </w:rPr>
        <w:t>ing</w:t>
      </w:r>
      <w:r w:rsidR="00255CF6" w:rsidRPr="00255CF6">
        <w:rPr>
          <w:rFonts w:ascii="Times New Roman" w:hAnsi="Times New Roman"/>
        </w:rPr>
        <w:t xml:space="preserve"> evidence that sustainability matters beyond the physical attributes of a building.</w:t>
      </w:r>
    </w:p>
    <w:p w:rsidR="00A120AC" w:rsidRDefault="00A120AC" w:rsidP="00A120AC">
      <w:pPr>
        <w:spacing w:line="360" w:lineRule="auto"/>
        <w:ind w:firstLine="720"/>
        <w:jc w:val="both"/>
        <w:rPr>
          <w:rFonts w:ascii="Times New Roman" w:hAnsi="Times New Roman"/>
          <w:lang w:bidi="en-US"/>
        </w:rPr>
      </w:pPr>
      <w:r w:rsidRPr="00A120AC">
        <w:rPr>
          <w:rFonts w:ascii="Times New Roman" w:hAnsi="Times New Roman"/>
        </w:rPr>
        <w:t xml:space="preserve">In column (2), green certification is </w:t>
      </w:r>
      <w:r>
        <w:rPr>
          <w:rFonts w:ascii="Times New Roman" w:hAnsi="Times New Roman"/>
        </w:rPr>
        <w:t>indicated</w:t>
      </w:r>
      <w:r w:rsidRPr="00A120AC">
        <w:rPr>
          <w:rFonts w:ascii="Times New Roman" w:hAnsi="Times New Roman"/>
        </w:rPr>
        <w:t xml:space="preserve"> by </w:t>
      </w:r>
      <w:r>
        <w:rPr>
          <w:rFonts w:ascii="Times New Roman" w:hAnsi="Times New Roman"/>
        </w:rPr>
        <w:t xml:space="preserve">a dummy for </w:t>
      </w:r>
      <w:r w:rsidRPr="00A120AC">
        <w:rPr>
          <w:rFonts w:ascii="Times New Roman" w:hAnsi="Times New Roman"/>
        </w:rPr>
        <w:t>LEED</w:t>
      </w:r>
      <w:r>
        <w:rPr>
          <w:rFonts w:ascii="Times New Roman" w:hAnsi="Times New Roman"/>
        </w:rPr>
        <w:t>-rated buildings</w:t>
      </w:r>
      <w:r w:rsidRPr="00A120AC">
        <w:rPr>
          <w:rFonts w:ascii="Times New Roman" w:hAnsi="Times New Roman"/>
        </w:rPr>
        <w:t xml:space="preserve">. </w:t>
      </w:r>
      <w:r>
        <w:rPr>
          <w:rFonts w:ascii="Times New Roman" w:hAnsi="Times New Roman"/>
          <w:lang w:bidi="en-US"/>
        </w:rPr>
        <w:t>I</w:t>
      </w:r>
      <w:r w:rsidRPr="00A120AC">
        <w:rPr>
          <w:rFonts w:ascii="Times New Roman" w:hAnsi="Times New Roman"/>
          <w:lang w:bidi="en-US"/>
        </w:rPr>
        <w:t>mportant</w:t>
      </w:r>
      <w:r>
        <w:rPr>
          <w:rFonts w:ascii="Times New Roman" w:hAnsi="Times New Roman"/>
          <w:lang w:bidi="en-US"/>
        </w:rPr>
        <w:t>ly</w:t>
      </w:r>
      <w:r w:rsidRPr="00A120AC">
        <w:rPr>
          <w:rFonts w:ascii="Times New Roman" w:hAnsi="Times New Roman"/>
          <w:lang w:bidi="en-US"/>
        </w:rPr>
        <w:t xml:space="preserve">, holding all </w:t>
      </w:r>
      <w:r>
        <w:rPr>
          <w:rFonts w:ascii="Times New Roman" w:hAnsi="Times New Roman"/>
          <w:lang w:bidi="en-US"/>
        </w:rPr>
        <w:t>other</w:t>
      </w:r>
      <w:r w:rsidRPr="00A120AC">
        <w:rPr>
          <w:rFonts w:ascii="Times New Roman" w:hAnsi="Times New Roman"/>
          <w:lang w:bidi="en-US"/>
        </w:rPr>
        <w:t xml:space="preserve"> hedonic characteristics of the buildings constant, an office building </w:t>
      </w:r>
      <w:r>
        <w:rPr>
          <w:rFonts w:ascii="Times New Roman" w:hAnsi="Times New Roman"/>
          <w:lang w:bidi="en-US"/>
        </w:rPr>
        <w:t>with a LEED EBOM rating</w:t>
      </w:r>
      <w:r w:rsidRPr="00A120AC">
        <w:rPr>
          <w:rFonts w:ascii="Times New Roman" w:hAnsi="Times New Roman"/>
          <w:lang w:bidi="en-US"/>
        </w:rPr>
        <w:t xml:space="preserve"> rents for a </w:t>
      </w:r>
      <w:r w:rsidR="00DE3846">
        <w:rPr>
          <w:rFonts w:ascii="Times New Roman" w:hAnsi="Times New Roman"/>
          <w:lang w:bidi="en-US"/>
        </w:rPr>
        <w:t>7</w:t>
      </w:r>
      <w:r w:rsidRPr="00A120AC">
        <w:rPr>
          <w:rFonts w:ascii="Times New Roman" w:hAnsi="Times New Roman"/>
          <w:lang w:bidi="en-US"/>
        </w:rPr>
        <w:t xml:space="preserve"> percent premium, on average.</w:t>
      </w:r>
      <w:r>
        <w:rPr>
          <w:rFonts w:ascii="Times New Roman" w:hAnsi="Times New Roman"/>
          <w:lang w:bidi="en-US"/>
        </w:rPr>
        <w:t xml:space="preserve"> </w:t>
      </w:r>
      <w:r w:rsidRPr="00A120AC">
        <w:rPr>
          <w:rFonts w:ascii="Times New Roman" w:hAnsi="Times New Roman"/>
          <w:lang w:bidi="en-US"/>
        </w:rPr>
        <w:t xml:space="preserve">Measured attributes of sustainability and energy efficiency are incorporated in property rents, and this seems to </w:t>
      </w:r>
      <w:r>
        <w:rPr>
          <w:rFonts w:ascii="Times New Roman" w:hAnsi="Times New Roman"/>
          <w:lang w:bidi="en-US"/>
        </w:rPr>
        <w:t xml:space="preserve">have </w:t>
      </w:r>
      <w:r w:rsidRPr="00A120AC">
        <w:rPr>
          <w:rFonts w:ascii="Times New Roman" w:hAnsi="Times New Roman"/>
          <w:lang w:bidi="en-US"/>
        </w:rPr>
        <w:t>persist</w:t>
      </w:r>
      <w:r>
        <w:rPr>
          <w:rFonts w:ascii="Times New Roman" w:hAnsi="Times New Roman"/>
          <w:lang w:bidi="en-US"/>
        </w:rPr>
        <w:t>ed</w:t>
      </w:r>
      <w:r w:rsidRPr="00A120AC">
        <w:rPr>
          <w:rFonts w:ascii="Times New Roman" w:hAnsi="Times New Roman"/>
          <w:lang w:bidi="en-US"/>
        </w:rPr>
        <w:t xml:space="preserve"> through periods of volatility in the property market. </w:t>
      </w:r>
    </w:p>
    <w:p w:rsidR="00A120AC" w:rsidRPr="00A120AC" w:rsidRDefault="00A120AC" w:rsidP="000F0609">
      <w:pPr>
        <w:spacing w:line="360" w:lineRule="auto"/>
        <w:ind w:firstLine="720"/>
        <w:jc w:val="both"/>
        <w:rPr>
          <w:rFonts w:ascii="Times New Roman" w:hAnsi="Times New Roman"/>
          <w:lang w:bidi="en-US"/>
        </w:rPr>
      </w:pPr>
      <w:r>
        <w:rPr>
          <w:rFonts w:ascii="Times New Roman" w:hAnsi="Times New Roman"/>
          <w:lang w:bidi="en-US"/>
        </w:rPr>
        <w:t>In column (3)</w:t>
      </w:r>
      <w:r w:rsidRPr="00A120AC">
        <w:rPr>
          <w:rFonts w:ascii="Times New Roman" w:hAnsi="Times New Roman"/>
          <w:lang w:bidi="en-US"/>
        </w:rPr>
        <w:t>, the green rating is disaggregated into two components: an Energy Star label and a LEED registration. The coefficients of the other variables are unaffected when the green rating is disaggregated into these component categories. Importantly, the relationship between LEED and the rental premium remains significant when Energy Star certification is taken into account as well. These results imply that energy efficiency and other indicia of sustainability are complementary</w:t>
      </w:r>
      <w:r>
        <w:rPr>
          <w:rFonts w:ascii="Times New Roman" w:hAnsi="Times New Roman"/>
          <w:lang w:bidi="en-US"/>
        </w:rPr>
        <w:t>.</w:t>
      </w:r>
      <w:r w:rsidRPr="00A120AC">
        <w:rPr>
          <w:rFonts w:ascii="Times New Roman" w:hAnsi="Times New Roman"/>
          <w:lang w:bidi="en-US"/>
        </w:rPr>
        <w:t xml:space="preserve"> The estimated premium for buildings registered with the </w:t>
      </w:r>
      <w:r>
        <w:rPr>
          <w:rFonts w:ascii="Times New Roman" w:hAnsi="Times New Roman"/>
          <w:lang w:bidi="en-US"/>
        </w:rPr>
        <w:t>EPA</w:t>
      </w:r>
      <w:r w:rsidRPr="00A120AC">
        <w:rPr>
          <w:rFonts w:ascii="Times New Roman" w:hAnsi="Times New Roman"/>
          <w:lang w:bidi="en-US"/>
        </w:rPr>
        <w:t xml:space="preserve"> is </w:t>
      </w:r>
      <w:r>
        <w:rPr>
          <w:rFonts w:ascii="Times New Roman" w:hAnsi="Times New Roman"/>
          <w:lang w:bidi="en-US"/>
        </w:rPr>
        <w:t xml:space="preserve">not </w:t>
      </w:r>
      <w:r w:rsidRPr="00A120AC">
        <w:rPr>
          <w:rFonts w:ascii="Times New Roman" w:hAnsi="Times New Roman"/>
          <w:lang w:bidi="en-US"/>
        </w:rPr>
        <w:t xml:space="preserve">significantly higher than the premium for </w:t>
      </w:r>
      <w:r>
        <w:rPr>
          <w:rFonts w:ascii="Times New Roman" w:hAnsi="Times New Roman"/>
          <w:lang w:bidi="en-US"/>
        </w:rPr>
        <w:t>LEED-</w:t>
      </w:r>
      <w:r w:rsidRPr="00A120AC">
        <w:rPr>
          <w:rFonts w:ascii="Times New Roman" w:hAnsi="Times New Roman"/>
          <w:lang w:bidi="en-US"/>
        </w:rPr>
        <w:t>certified office buildings.</w:t>
      </w:r>
      <w:r>
        <w:rPr>
          <w:rFonts w:ascii="Times New Roman" w:hAnsi="Times New Roman"/>
          <w:lang w:bidi="en-US"/>
        </w:rPr>
        <w:t xml:space="preserve"> </w:t>
      </w:r>
      <w:r w:rsidRPr="00A120AC">
        <w:rPr>
          <w:rFonts w:ascii="Times New Roman" w:hAnsi="Times New Roman"/>
          <w:lang w:bidi="en-US"/>
        </w:rPr>
        <w:t xml:space="preserve">A recent analysis of the thermal properties of a small sample of LEED-certified buildings </w:t>
      </w:r>
      <w:r>
        <w:rPr>
          <w:rFonts w:ascii="Times New Roman" w:hAnsi="Times New Roman"/>
          <w:lang w:bidi="en-US"/>
        </w:rPr>
        <w:t xml:space="preserve">indeed </w:t>
      </w:r>
      <w:r w:rsidRPr="00A120AC">
        <w:rPr>
          <w:rFonts w:ascii="Times New Roman" w:hAnsi="Times New Roman"/>
          <w:lang w:bidi="en-US"/>
        </w:rPr>
        <w:t xml:space="preserve">concluded that these buildings do consume less energy, on average, than their conventional counterparts. However, 18-30 percent of LEED buildings used more energy than their counterparts. </w:t>
      </w:r>
      <w:r w:rsidR="004F3D0B">
        <w:rPr>
          <w:rFonts w:ascii="Times New Roman" w:hAnsi="Times New Roman"/>
          <w:lang w:bidi="en-US"/>
        </w:rPr>
        <w:fldChar w:fldCharType="begin"/>
      </w:r>
      <w:r w:rsidR="004F3D0B">
        <w:rPr>
          <w:rFonts w:ascii="Times New Roman" w:hAnsi="Times New Roman"/>
          <w:lang w:bidi="en-US"/>
        </w:rPr>
        <w:instrText xml:space="preserve"> ADDIN EN.CITE &lt;EndNote&gt;&lt;Cite&gt;&lt;Author&gt;Newsham&lt;/Author&gt;&lt;Year&gt;2009&lt;/Year&gt;&lt;RecNum&gt;439&lt;/RecNum&gt;&lt;DisplayText&gt;(Guy R. Newsham et al., 2009)&lt;/DisplayText&gt;&lt;record&gt;&lt;rec-number&gt;439&lt;/rec-number&gt;&lt;foreign-keys&gt;&lt;key app="EN" db-id="f2ar0z95bxfes4exf9l5s2sftaat5efvvz9a"&gt;439&lt;/key&gt;&lt;/foreign-keys&gt;&lt;ref-type name="Journal Article"&gt;17&lt;/ref-type&gt;&lt;contributors&gt;&lt;authors&gt;&lt;author&gt;Newsham, Guy R.&lt;/author&gt;&lt;author&gt;Mancici, Sandra&lt;/author&gt;&lt;author&gt;Birt, Benjamin&lt;/author&gt;&lt;/authors&gt;&lt;/contributors&gt;&lt;titles&gt;&lt;title&gt;Do LEED-certified Buildings Save Energy? Yes, But...,&lt;/title&gt;&lt;secondary-title&gt;Energy and Buildings&lt;/secondary-title&gt;&lt;/titles&gt;&lt;pages&gt;897-905&lt;/pages&gt;&lt;volume&gt;41&lt;/volume&gt;&lt;dates&gt;&lt;year&gt;2009&lt;/year&gt;&lt;/dates&gt;&lt;urls&gt;&lt;/urls&gt;&lt;/record&gt;&lt;/Cite&gt;&lt;/EndNote&gt;</w:instrText>
      </w:r>
      <w:r w:rsidR="004F3D0B">
        <w:rPr>
          <w:rFonts w:ascii="Times New Roman" w:hAnsi="Times New Roman"/>
          <w:lang w:bidi="en-US"/>
        </w:rPr>
        <w:fldChar w:fldCharType="separate"/>
      </w:r>
      <w:r w:rsidR="004F3D0B">
        <w:rPr>
          <w:rFonts w:ascii="Times New Roman" w:hAnsi="Times New Roman"/>
          <w:noProof/>
          <w:lang w:bidi="en-US"/>
        </w:rPr>
        <w:t>(</w:t>
      </w:r>
      <w:hyperlink w:anchor="_ENREF_12" w:tooltip="Newsham, 2009 #439" w:history="1">
        <w:r w:rsidR="00133E9A">
          <w:rPr>
            <w:rFonts w:ascii="Times New Roman" w:hAnsi="Times New Roman"/>
            <w:noProof/>
            <w:lang w:bidi="en-US"/>
          </w:rPr>
          <w:t>Guy R. Newsham et al., 2009</w:t>
        </w:r>
      </w:hyperlink>
      <w:r w:rsidR="004F3D0B">
        <w:rPr>
          <w:rFonts w:ascii="Times New Roman" w:hAnsi="Times New Roman"/>
          <w:noProof/>
          <w:lang w:bidi="en-US"/>
        </w:rPr>
        <w:t>)</w:t>
      </w:r>
      <w:r w:rsidR="004F3D0B">
        <w:rPr>
          <w:rFonts w:ascii="Times New Roman" w:hAnsi="Times New Roman"/>
          <w:lang w:bidi="en-US"/>
        </w:rPr>
        <w:fldChar w:fldCharType="end"/>
      </w:r>
      <w:r w:rsidRPr="00A120AC">
        <w:rPr>
          <w:rFonts w:ascii="Times New Roman" w:hAnsi="Times New Roman"/>
          <w:lang w:bidi="en-US"/>
        </w:rPr>
        <w:t xml:space="preserve">. In our </w:t>
      </w:r>
      <w:r>
        <w:rPr>
          <w:rFonts w:ascii="Times New Roman" w:hAnsi="Times New Roman"/>
          <w:lang w:bidi="en-US"/>
        </w:rPr>
        <w:t>LEED</w:t>
      </w:r>
      <w:r w:rsidRPr="00A120AC">
        <w:rPr>
          <w:rFonts w:ascii="Times New Roman" w:hAnsi="Times New Roman"/>
          <w:lang w:bidi="en-US"/>
        </w:rPr>
        <w:t xml:space="preserve"> sample, there are </w:t>
      </w:r>
      <w:r w:rsidR="00C4613F">
        <w:rPr>
          <w:rFonts w:ascii="Times New Roman" w:hAnsi="Times New Roman"/>
          <w:lang w:bidi="en-US"/>
        </w:rPr>
        <w:t>299</w:t>
      </w:r>
      <w:r w:rsidRPr="00A120AC">
        <w:rPr>
          <w:rFonts w:ascii="Times New Roman" w:hAnsi="Times New Roman"/>
          <w:lang w:bidi="en-US"/>
        </w:rPr>
        <w:t xml:space="preserve"> buildings</w:t>
      </w:r>
      <w:r w:rsidR="004F3D0B">
        <w:rPr>
          <w:rFonts w:ascii="Times New Roman" w:hAnsi="Times New Roman"/>
          <w:lang w:bidi="en-US"/>
        </w:rPr>
        <w:t xml:space="preserve"> (87 percent</w:t>
      </w:r>
      <w:r w:rsidR="00C4613F">
        <w:rPr>
          <w:rFonts w:ascii="Times New Roman" w:hAnsi="Times New Roman"/>
          <w:lang w:bidi="en-US"/>
        </w:rPr>
        <w:t xml:space="preserve"> of those with LEED certification at any level)</w:t>
      </w:r>
      <w:r w:rsidRPr="00A120AC">
        <w:rPr>
          <w:rFonts w:ascii="Times New Roman" w:hAnsi="Times New Roman"/>
          <w:lang w:bidi="en-US"/>
        </w:rPr>
        <w:t xml:space="preserve"> with both LEE</w:t>
      </w:r>
      <w:r>
        <w:rPr>
          <w:rFonts w:ascii="Times New Roman" w:hAnsi="Times New Roman"/>
          <w:lang w:bidi="en-US"/>
        </w:rPr>
        <w:t>D and Energy Star certification</w:t>
      </w:r>
      <w:r w:rsidRPr="00A120AC">
        <w:rPr>
          <w:rFonts w:ascii="Times New Roman" w:hAnsi="Times New Roman"/>
          <w:lang w:bidi="en-US"/>
        </w:rPr>
        <w:t xml:space="preserve">. </w:t>
      </w:r>
    </w:p>
    <w:p w:rsidR="00801F9A" w:rsidRDefault="00AB3AC8" w:rsidP="00801F9A">
      <w:pPr>
        <w:spacing w:line="360" w:lineRule="auto"/>
        <w:ind w:firstLine="720"/>
        <w:jc w:val="both"/>
        <w:rPr>
          <w:rFonts w:ascii="Times New Roman" w:hAnsi="Times New Roman"/>
        </w:rPr>
      </w:pPr>
      <w:r>
        <w:rPr>
          <w:rFonts w:ascii="Times New Roman" w:hAnsi="Times New Roman"/>
        </w:rPr>
        <w:t xml:space="preserve">Exhibit </w:t>
      </w:r>
      <w:r w:rsidR="002C7368">
        <w:rPr>
          <w:rFonts w:ascii="Times New Roman" w:hAnsi="Times New Roman"/>
        </w:rPr>
        <w:t>10</w:t>
      </w:r>
      <w:r w:rsidR="000F0609" w:rsidRPr="000F0609">
        <w:rPr>
          <w:rFonts w:ascii="Times New Roman" w:hAnsi="Times New Roman"/>
        </w:rPr>
        <w:t xml:space="preserve"> presents the results when the dependent variable is measured by the logarithm of effective rent. When endogenous rent-setting policies are taken into account</w:t>
      </w:r>
      <w:r w:rsidR="000F0609">
        <w:rPr>
          <w:rFonts w:ascii="Times New Roman" w:hAnsi="Times New Roman"/>
        </w:rPr>
        <w:t xml:space="preserve"> (w</w:t>
      </w:r>
      <w:r w:rsidR="000F0609" w:rsidRPr="000F0609">
        <w:rPr>
          <w:rFonts w:ascii="Times New Roman" w:hAnsi="Times New Roman"/>
        </w:rPr>
        <w:t>e may expect property owners to adopt differing asking rent strateg</w:t>
      </w:r>
      <w:r w:rsidR="000F0609">
        <w:rPr>
          <w:rFonts w:ascii="Times New Roman" w:hAnsi="Times New Roman"/>
        </w:rPr>
        <w:t>ies,</w:t>
      </w:r>
      <w:r w:rsidR="000F0609" w:rsidRPr="000F0609">
        <w:rPr>
          <w:rFonts w:ascii="Times New Roman" w:hAnsi="Times New Roman"/>
        </w:rPr>
        <w:t xml:space="preserve"> </w:t>
      </w:r>
      <w:r w:rsidR="000F0609">
        <w:rPr>
          <w:rFonts w:ascii="Times New Roman" w:hAnsi="Times New Roman"/>
          <w:i/>
        </w:rPr>
        <w:t>c</w:t>
      </w:r>
      <w:r w:rsidR="000F0609" w:rsidRPr="000F0609">
        <w:rPr>
          <w:rFonts w:ascii="Times New Roman" w:hAnsi="Times New Roman"/>
          <w:i/>
        </w:rPr>
        <w:t>eteris paribus,</w:t>
      </w:r>
      <w:r w:rsidR="000F0609" w:rsidRPr="000F0609">
        <w:rPr>
          <w:rFonts w:ascii="Times New Roman" w:hAnsi="Times New Roman"/>
        </w:rPr>
        <w:t xml:space="preserve"> landlords who charge higher rents will </w:t>
      </w:r>
      <w:r w:rsidR="000F0609">
        <w:rPr>
          <w:rFonts w:ascii="Times New Roman" w:hAnsi="Times New Roman"/>
        </w:rPr>
        <w:t>experience higher vacancy rates),</w:t>
      </w:r>
      <w:r w:rsidR="000F0609" w:rsidRPr="000F0609">
        <w:rPr>
          <w:rFonts w:ascii="Times New Roman" w:hAnsi="Times New Roman"/>
        </w:rPr>
        <w:t xml:space="preserve"> the results suggest that the effect of a green rating is even larger. In column (</w:t>
      </w:r>
      <w:r w:rsidR="000F0609">
        <w:rPr>
          <w:rFonts w:ascii="Times New Roman" w:hAnsi="Times New Roman"/>
        </w:rPr>
        <w:t>2</w:t>
      </w:r>
      <w:r w:rsidR="000F0609" w:rsidRPr="000F0609">
        <w:rPr>
          <w:rFonts w:ascii="Times New Roman" w:hAnsi="Times New Roman"/>
        </w:rPr>
        <w:t xml:space="preserve">), the statistical results suggest that a green rating is associated with a </w:t>
      </w:r>
      <w:r w:rsidR="00DE3846">
        <w:rPr>
          <w:rFonts w:ascii="Times New Roman" w:hAnsi="Times New Roman"/>
        </w:rPr>
        <w:t>9</w:t>
      </w:r>
      <w:r w:rsidR="000F0609" w:rsidRPr="000F0609">
        <w:rPr>
          <w:rFonts w:ascii="Times New Roman" w:hAnsi="Times New Roman"/>
        </w:rPr>
        <w:t xml:space="preserve"> percent increase in effective rent. In the regression reported in column (2</w:t>
      </w:r>
      <w:r w:rsidR="000F0609">
        <w:rPr>
          <w:rFonts w:ascii="Times New Roman" w:hAnsi="Times New Roman"/>
        </w:rPr>
        <w:t xml:space="preserve">), which is exactly similar to results documented by Eichholtz, Kok and Quigley </w:t>
      </w:r>
      <w:r w:rsidR="004F3D0B">
        <w:rPr>
          <w:rFonts w:ascii="Times New Roman" w:hAnsi="Times New Roman"/>
        </w:rPr>
        <w:fldChar w:fldCharType="begin"/>
      </w:r>
      <w:r w:rsidR="004F3D0B">
        <w:rPr>
          <w:rFonts w:ascii="Times New Roman" w:hAnsi="Times New Roman"/>
        </w:rPr>
        <w:instrText xml:space="preserve"> ADDIN EN.CITE &lt;EndNote&gt;&lt;Cite ExcludeAuth="1"&gt;&lt;Author&gt;Eichholtz&lt;/Author&gt;&lt;Year&gt;in press&lt;/Year&gt;&lt;RecNum&gt;427&lt;/RecNum&gt;&lt;DisplayText&gt;(in press)&lt;/DisplayText&gt;&lt;record&gt;&lt;rec-number&gt;427&lt;/rec-number&gt;&lt;foreign-keys&gt;&lt;key app="EN" db-id="f2ar0z95bxfes4exf9l5s2sftaat5efvvz9a"&gt;427&lt;/key&gt;&lt;/foreign-keys&gt;&lt;ref-type name="Journal Article"&gt;17&lt;/ref-type&gt;&lt;contributors&gt;&lt;authors&gt;&lt;author&gt;Eichholtz, Piet M.A.&lt;/author&gt;&lt;author&gt;Kok, Nils&lt;/author&gt;&lt;author&gt;Quigley, John M.&lt;/author&gt;&lt;/authors&gt;&lt;/contributors&gt;&lt;titles&gt;&lt;title&gt;The Economics of Green Building&lt;/title&gt;&lt;secondary-title&gt;Review of Economics and Statistics&lt;/secondary-title&gt;&lt;/titles&gt;&lt;dates&gt;&lt;year&gt;in press&lt;/year&gt;&lt;/dates&gt;&lt;urls&gt;&lt;/urls&gt;&lt;/record&gt;&lt;/Cite&gt;&lt;/EndNote&gt;</w:instrText>
      </w:r>
      <w:r w:rsidR="004F3D0B">
        <w:rPr>
          <w:rFonts w:ascii="Times New Roman" w:hAnsi="Times New Roman"/>
        </w:rPr>
        <w:fldChar w:fldCharType="separate"/>
      </w:r>
      <w:r w:rsidR="004F3D0B">
        <w:rPr>
          <w:rFonts w:ascii="Times New Roman" w:hAnsi="Times New Roman"/>
          <w:noProof/>
        </w:rPr>
        <w:t>(</w:t>
      </w:r>
      <w:hyperlink w:anchor="_ENREF_4" w:tooltip="Eichholtz, in press #427" w:history="1">
        <w:r w:rsidR="00133E9A">
          <w:rPr>
            <w:rFonts w:ascii="Times New Roman" w:hAnsi="Times New Roman"/>
            <w:noProof/>
          </w:rPr>
          <w:t>in press</w:t>
        </w:r>
      </w:hyperlink>
      <w:r w:rsidR="004F3D0B">
        <w:rPr>
          <w:rFonts w:ascii="Times New Roman" w:hAnsi="Times New Roman"/>
          <w:noProof/>
        </w:rPr>
        <w:t>)</w:t>
      </w:r>
      <w:r w:rsidR="004F3D0B">
        <w:rPr>
          <w:rFonts w:ascii="Times New Roman" w:hAnsi="Times New Roman"/>
        </w:rPr>
        <w:fldChar w:fldCharType="end"/>
      </w:r>
      <w:r w:rsidR="004F3D0B">
        <w:rPr>
          <w:rFonts w:ascii="Times New Roman" w:hAnsi="Times New Roman"/>
        </w:rPr>
        <w:t xml:space="preserve"> </w:t>
      </w:r>
      <w:r w:rsidR="000F0609">
        <w:rPr>
          <w:rFonts w:ascii="Times New Roman" w:hAnsi="Times New Roman"/>
        </w:rPr>
        <w:t>for a large sample of LEED-certified office buildings in 2009</w:t>
      </w:r>
      <w:r w:rsidR="004F3D0B">
        <w:rPr>
          <w:rFonts w:ascii="Times New Roman" w:hAnsi="Times New Roman"/>
        </w:rPr>
        <w:t xml:space="preserve">. </w:t>
      </w:r>
      <w:r w:rsidR="000F0609" w:rsidRPr="000F0609">
        <w:rPr>
          <w:rFonts w:ascii="Times New Roman" w:hAnsi="Times New Roman"/>
        </w:rPr>
        <w:t xml:space="preserve">Taken together, the results reported in Tables </w:t>
      </w:r>
      <w:r w:rsidR="000F0609">
        <w:rPr>
          <w:rFonts w:ascii="Times New Roman" w:hAnsi="Times New Roman"/>
        </w:rPr>
        <w:t>2</w:t>
      </w:r>
      <w:r w:rsidR="000F0609" w:rsidRPr="000F0609">
        <w:rPr>
          <w:rFonts w:ascii="Times New Roman" w:hAnsi="Times New Roman"/>
        </w:rPr>
        <w:t xml:space="preserve"> and </w:t>
      </w:r>
      <w:r w:rsidR="000F0609">
        <w:rPr>
          <w:rFonts w:ascii="Times New Roman" w:hAnsi="Times New Roman"/>
        </w:rPr>
        <w:t>3</w:t>
      </w:r>
      <w:r w:rsidR="000F0609" w:rsidRPr="000F0609">
        <w:rPr>
          <w:rFonts w:ascii="Times New Roman" w:hAnsi="Times New Roman"/>
        </w:rPr>
        <w:t xml:space="preserve"> suggest that the occupancy rate of green buildings is about </w:t>
      </w:r>
      <w:r w:rsidR="00DE3846">
        <w:rPr>
          <w:rFonts w:ascii="Times New Roman" w:hAnsi="Times New Roman"/>
        </w:rPr>
        <w:t>2</w:t>
      </w:r>
      <w:r w:rsidR="000F0609" w:rsidRPr="000F0609">
        <w:rPr>
          <w:rFonts w:ascii="Times New Roman" w:hAnsi="Times New Roman"/>
        </w:rPr>
        <w:t xml:space="preserve"> percent higher than in otherwise comparable non</w:t>
      </w:r>
      <w:r w:rsidR="003131DA">
        <w:rPr>
          <w:rFonts w:ascii="Times New Roman" w:hAnsi="Times New Roman"/>
        </w:rPr>
        <w:t>-</w:t>
      </w:r>
      <w:r w:rsidR="000B135F">
        <w:rPr>
          <w:rFonts w:ascii="Times New Roman" w:hAnsi="Times New Roman"/>
        </w:rPr>
        <w:t>green buildings.</w:t>
      </w:r>
    </w:p>
    <w:p w:rsidR="00801F9A" w:rsidRDefault="00801F9A" w:rsidP="00801F9A">
      <w:pPr>
        <w:spacing w:line="360" w:lineRule="auto"/>
        <w:ind w:firstLine="720"/>
        <w:jc w:val="both"/>
        <w:rPr>
          <w:rFonts w:ascii="Times New Roman" w:hAnsi="Times New Roman"/>
        </w:rPr>
      </w:pPr>
    </w:p>
    <w:p w:rsidR="00656CE3" w:rsidRPr="00801F9A" w:rsidRDefault="00656CE3" w:rsidP="00801F9A">
      <w:pPr>
        <w:numPr>
          <w:ilvl w:val="0"/>
          <w:numId w:val="5"/>
        </w:numPr>
        <w:spacing w:after="240" w:line="360" w:lineRule="auto"/>
        <w:jc w:val="both"/>
        <w:rPr>
          <w:rFonts w:ascii="Times New Roman" w:hAnsi="Times New Roman"/>
          <w:b/>
        </w:rPr>
      </w:pPr>
      <w:r w:rsidRPr="00656CE3">
        <w:rPr>
          <w:rFonts w:ascii="Times New Roman" w:hAnsi="Times New Roman"/>
          <w:b/>
        </w:rPr>
        <w:t>Incremental Costs and Benefits of Energy Savings Related Improvements</w:t>
      </w:r>
    </w:p>
    <w:p w:rsidR="00706E5F" w:rsidRDefault="00801F9A" w:rsidP="005A6B23">
      <w:pPr>
        <w:spacing w:line="360" w:lineRule="auto"/>
        <w:jc w:val="both"/>
        <w:rPr>
          <w:rFonts w:ascii="Times New Roman" w:hAnsi="Times New Roman"/>
        </w:rPr>
      </w:pPr>
      <w:r>
        <w:rPr>
          <w:rFonts w:ascii="Times New Roman" w:hAnsi="Times New Roman"/>
        </w:rPr>
        <w:tab/>
        <w:t xml:space="preserve">On average, our empirical results suggest a rental premium of $2 per square foot a year for buildings certified by LEED for Existing Buildings (i.e., seven percent times an average rent of some 29 dollar per square foot), which at a cap rate of eight percent (see Eichholtz et al., in press) results in a value impact of $25 dollars per square foot.  </w:t>
      </w:r>
    </w:p>
    <w:p w:rsidR="00706E5F" w:rsidRDefault="00801F9A" w:rsidP="00706E5F">
      <w:pPr>
        <w:spacing w:line="360" w:lineRule="auto"/>
        <w:ind w:firstLine="720"/>
        <w:jc w:val="both"/>
        <w:rPr>
          <w:rFonts w:ascii="Times New Roman" w:hAnsi="Times New Roman"/>
        </w:rPr>
      </w:pPr>
      <w:r>
        <w:rPr>
          <w:rFonts w:ascii="Times New Roman" w:hAnsi="Times New Roman"/>
        </w:rPr>
        <w:t xml:space="preserve">We also note that more efficient buildings may have significant energy savings, but do not count these as they may accrue to the benefit of the tenant, depending on the kind of lease and pass-through terms. This well-known issue is referred to as the “split incentive” problem, where landlords making investments in energy savings that primarily benefits the tenants who may or may not be willing to pay as much in additional rent as the suggested energy savings. Green lease provisions may be helpful in this regard, where a third-party auditor assists in determining how much the utility costs would be in the absence of specific improvements, and a portion of this is paid in additional rent. But we do not have sufficient detail to match up the energy savings with the rental changes to be able to draw any detailed conclusions beyond those provided by Eicholtz et al. (in press). </w:t>
      </w:r>
    </w:p>
    <w:p w:rsidR="0041661B" w:rsidRDefault="00801F9A" w:rsidP="00706E5F">
      <w:pPr>
        <w:spacing w:line="360" w:lineRule="auto"/>
        <w:ind w:firstLine="720"/>
        <w:jc w:val="both"/>
        <w:rPr>
          <w:rFonts w:ascii="Times New Roman" w:hAnsi="Times New Roman"/>
        </w:rPr>
      </w:pPr>
      <w:r>
        <w:rPr>
          <w:rFonts w:ascii="Times New Roman" w:hAnsi="Times New Roman"/>
        </w:rPr>
        <w:t>We can however, estimate the energy-related savings and the strategies based on the work of Davis Langdon Global Construction Managers.</w:t>
      </w:r>
      <w:r>
        <w:rPr>
          <w:rStyle w:val="FootnoteReference"/>
          <w:rFonts w:ascii="Times New Roman" w:hAnsi="Times New Roman"/>
        </w:rPr>
        <w:footnoteReference w:id="7"/>
      </w:r>
      <w:r w:rsidR="005A6B23">
        <w:rPr>
          <w:rFonts w:ascii="Times New Roman" w:hAnsi="Times New Roman"/>
        </w:rPr>
        <w:t xml:space="preserve"> </w:t>
      </w:r>
      <w:r w:rsidR="006B63A6">
        <w:rPr>
          <w:rFonts w:ascii="Times New Roman" w:hAnsi="Times New Roman"/>
        </w:rPr>
        <w:t xml:space="preserve">There are several easy strategies to </w:t>
      </w:r>
      <w:r w:rsidR="0041661B">
        <w:rPr>
          <w:rFonts w:ascii="Times New Roman" w:hAnsi="Times New Roman"/>
        </w:rPr>
        <w:t>conserve on</w:t>
      </w:r>
      <w:r w:rsidR="006B63A6">
        <w:rPr>
          <w:rFonts w:ascii="Times New Roman" w:hAnsi="Times New Roman"/>
        </w:rPr>
        <w:t xml:space="preserve"> energy</w:t>
      </w:r>
      <w:r w:rsidR="000273CB">
        <w:rPr>
          <w:rFonts w:ascii="Times New Roman" w:hAnsi="Times New Roman"/>
        </w:rPr>
        <w:t>,</w:t>
      </w:r>
      <w:r w:rsidR="006B63A6">
        <w:rPr>
          <w:rFonts w:ascii="Times New Roman" w:hAnsi="Times New Roman"/>
        </w:rPr>
        <w:t xml:space="preserve"> and we note that even non-green buildings can be well managed and green b</w:t>
      </w:r>
      <w:r w:rsidR="002C7368">
        <w:rPr>
          <w:rFonts w:ascii="Times New Roman" w:hAnsi="Times New Roman"/>
        </w:rPr>
        <w:t>uildings can be poorly managed.</w:t>
      </w:r>
      <w:r w:rsidR="006B63A6">
        <w:rPr>
          <w:rFonts w:ascii="Times New Roman" w:hAnsi="Times New Roman"/>
        </w:rPr>
        <w:t xml:space="preserve"> Among the easiest strategies discovered in studies by Miller, Pogue, Saville and Tu (2010) are day</w:t>
      </w:r>
      <w:r w:rsidR="000273CB">
        <w:rPr>
          <w:rFonts w:ascii="Times New Roman" w:hAnsi="Times New Roman"/>
        </w:rPr>
        <w:t>-time cleaning and sub-</w:t>
      </w:r>
      <w:r w:rsidR="006B63A6">
        <w:rPr>
          <w:rFonts w:ascii="Times New Roman" w:hAnsi="Times New Roman"/>
        </w:rPr>
        <w:t>me</w:t>
      </w:r>
      <w:r w:rsidR="0041661B">
        <w:rPr>
          <w:rFonts w:ascii="Times New Roman" w:hAnsi="Times New Roman"/>
        </w:rPr>
        <w:t>tering where permitted.</w:t>
      </w:r>
      <w:r w:rsidR="006B63A6">
        <w:rPr>
          <w:rFonts w:ascii="Times New Roman" w:hAnsi="Times New Roman"/>
        </w:rPr>
        <w:t xml:space="preserve"> Davis Langdon lists the most common renovated related strategies</w:t>
      </w:r>
      <w:r w:rsidR="0041661B">
        <w:rPr>
          <w:rFonts w:ascii="Times New Roman" w:hAnsi="Times New Roman"/>
        </w:rPr>
        <w:t>, and</w:t>
      </w:r>
      <w:r w:rsidR="006B63A6">
        <w:rPr>
          <w:rFonts w:ascii="Times New Roman" w:hAnsi="Times New Roman"/>
        </w:rPr>
        <w:t xml:space="preserve"> </w:t>
      </w:r>
      <w:r w:rsidR="0041661B">
        <w:rPr>
          <w:rFonts w:ascii="Times New Roman" w:hAnsi="Times New Roman"/>
        </w:rPr>
        <w:t xml:space="preserve">each of these reduction strategies will be briefly discussed. </w:t>
      </w:r>
    </w:p>
    <w:p w:rsidR="0031052F" w:rsidRDefault="0031052F" w:rsidP="00C4613F">
      <w:pPr>
        <w:spacing w:line="360" w:lineRule="auto"/>
        <w:jc w:val="both"/>
        <w:rPr>
          <w:rFonts w:ascii="Times New Roman" w:hAnsi="Times New Roman"/>
        </w:rPr>
      </w:pPr>
    </w:p>
    <w:p w:rsidR="00904411" w:rsidRDefault="00904411" w:rsidP="00C4613F">
      <w:pPr>
        <w:pStyle w:val="ListParagraph"/>
        <w:spacing w:line="360" w:lineRule="auto"/>
        <w:jc w:val="both"/>
        <w:rPr>
          <w:rFonts w:ascii="Times New Roman" w:hAnsi="Times New Roman"/>
        </w:rPr>
      </w:pPr>
      <w:r w:rsidRPr="0041661B">
        <w:rPr>
          <w:rFonts w:ascii="Times New Roman" w:hAnsi="Times New Roman"/>
          <w:b/>
        </w:rPr>
        <w:t>Plug loads</w:t>
      </w:r>
      <w:r>
        <w:rPr>
          <w:rFonts w:ascii="Times New Roman" w:hAnsi="Times New Roman"/>
        </w:rPr>
        <w:t xml:space="preserve">: The typical </w:t>
      </w:r>
      <w:r w:rsidR="00723324">
        <w:rPr>
          <w:rFonts w:ascii="Times New Roman" w:hAnsi="Times New Roman"/>
        </w:rPr>
        <w:t xml:space="preserve">office </w:t>
      </w:r>
      <w:r>
        <w:rPr>
          <w:rFonts w:ascii="Times New Roman" w:hAnsi="Times New Roman"/>
        </w:rPr>
        <w:t xml:space="preserve">property </w:t>
      </w:r>
      <w:r w:rsidR="0041661B">
        <w:rPr>
          <w:rFonts w:ascii="Times New Roman" w:hAnsi="Times New Roman"/>
        </w:rPr>
        <w:t>consumes about</w:t>
      </w:r>
      <w:r>
        <w:rPr>
          <w:rFonts w:ascii="Times New Roman" w:hAnsi="Times New Roman"/>
        </w:rPr>
        <w:t xml:space="preserve"> 10 to 20 KBtu’s per square foot per year</w:t>
      </w:r>
      <w:r w:rsidR="0041661B">
        <w:rPr>
          <w:rFonts w:ascii="Times New Roman" w:hAnsi="Times New Roman"/>
        </w:rPr>
        <w:t xml:space="preserve"> for plug load,</w:t>
      </w:r>
      <w:r>
        <w:rPr>
          <w:rFonts w:ascii="Times New Roman" w:hAnsi="Times New Roman"/>
        </w:rPr>
        <w:t xml:space="preserve"> but</w:t>
      </w:r>
      <w:r w:rsidR="0041661B">
        <w:rPr>
          <w:rFonts w:ascii="Times New Roman" w:hAnsi="Times New Roman"/>
        </w:rPr>
        <w:t xml:space="preserve"> that</w:t>
      </w:r>
      <w:r>
        <w:rPr>
          <w:rFonts w:ascii="Times New Roman" w:hAnsi="Times New Roman"/>
        </w:rPr>
        <w:t xml:space="preserve"> can easily be improved to 4 to 10 </w:t>
      </w:r>
      <w:r w:rsidR="00C4613F">
        <w:rPr>
          <w:rFonts w:ascii="Times New Roman" w:hAnsi="Times New Roman"/>
        </w:rPr>
        <w:t>K</w:t>
      </w:r>
      <w:r>
        <w:rPr>
          <w:rFonts w:ascii="Times New Roman" w:hAnsi="Times New Roman"/>
        </w:rPr>
        <w:t>Btu’s</w:t>
      </w:r>
      <w:r w:rsidR="0041661B">
        <w:rPr>
          <w:rFonts w:ascii="Times New Roman" w:hAnsi="Times New Roman"/>
        </w:rPr>
        <w:t>,</w:t>
      </w:r>
      <w:r>
        <w:rPr>
          <w:rFonts w:ascii="Times New Roman" w:hAnsi="Times New Roman"/>
        </w:rPr>
        <w:t xml:space="preserve"> by replacing outdated appliances and equipment (printers, faxes, computer screens) and adding occupancy sensors that shut off power when no </w:t>
      </w:r>
      <w:r w:rsidR="0041661B">
        <w:rPr>
          <w:rFonts w:ascii="Times New Roman" w:hAnsi="Times New Roman"/>
        </w:rPr>
        <w:t>there are no occupants</w:t>
      </w:r>
      <w:r w:rsidR="004A462E">
        <w:rPr>
          <w:rFonts w:ascii="Times New Roman" w:hAnsi="Times New Roman"/>
        </w:rPr>
        <w:t xml:space="preserve"> (after an appropriate delay).  </w:t>
      </w:r>
      <w:r w:rsidR="0041661B">
        <w:rPr>
          <w:rFonts w:ascii="Times New Roman" w:hAnsi="Times New Roman"/>
        </w:rPr>
        <w:t>“</w:t>
      </w:r>
      <w:r>
        <w:rPr>
          <w:rFonts w:ascii="Times New Roman" w:hAnsi="Times New Roman"/>
        </w:rPr>
        <w:t>Vampire kill switches</w:t>
      </w:r>
      <w:r w:rsidR="0041661B">
        <w:rPr>
          <w:rFonts w:ascii="Times New Roman" w:hAnsi="Times New Roman"/>
        </w:rPr>
        <w:t>”</w:t>
      </w:r>
      <w:r>
        <w:rPr>
          <w:rFonts w:ascii="Times New Roman" w:hAnsi="Times New Roman"/>
        </w:rPr>
        <w:t xml:space="preserve"> also shut down the entire suite or floor power when the last person leaves the pr</w:t>
      </w:r>
      <w:r w:rsidR="004A462E">
        <w:rPr>
          <w:rFonts w:ascii="Times New Roman" w:hAnsi="Times New Roman"/>
        </w:rPr>
        <w:t xml:space="preserve">emises. </w:t>
      </w:r>
      <w:r w:rsidR="0041661B">
        <w:rPr>
          <w:rFonts w:ascii="Times New Roman" w:hAnsi="Times New Roman"/>
        </w:rPr>
        <w:t>Importantly,</w:t>
      </w:r>
      <w:r w:rsidR="004A462E">
        <w:rPr>
          <w:rFonts w:ascii="Times New Roman" w:hAnsi="Times New Roman"/>
        </w:rPr>
        <w:t xml:space="preserve"> </w:t>
      </w:r>
      <w:r w:rsidR="0041661B">
        <w:rPr>
          <w:rFonts w:ascii="Times New Roman" w:hAnsi="Times New Roman"/>
        </w:rPr>
        <w:t>t</w:t>
      </w:r>
      <w:r w:rsidR="00723324">
        <w:rPr>
          <w:rFonts w:ascii="Times New Roman" w:hAnsi="Times New Roman"/>
        </w:rPr>
        <w:t>he cost for these strategies is negligible.</w:t>
      </w:r>
    </w:p>
    <w:p w:rsidR="00904411" w:rsidRPr="005A6B23" w:rsidRDefault="00904411" w:rsidP="005A6B23">
      <w:pPr>
        <w:spacing w:line="360" w:lineRule="auto"/>
        <w:jc w:val="both"/>
        <w:rPr>
          <w:rFonts w:ascii="Times New Roman" w:hAnsi="Times New Roman"/>
        </w:rPr>
      </w:pPr>
    </w:p>
    <w:p w:rsidR="00904411" w:rsidRDefault="00904411" w:rsidP="00C4613F">
      <w:pPr>
        <w:pStyle w:val="ListParagraph"/>
        <w:spacing w:line="360" w:lineRule="auto"/>
        <w:jc w:val="both"/>
        <w:rPr>
          <w:rFonts w:ascii="Times New Roman" w:hAnsi="Times New Roman"/>
        </w:rPr>
      </w:pPr>
      <w:r w:rsidRPr="0041661B">
        <w:rPr>
          <w:rFonts w:ascii="Times New Roman" w:hAnsi="Times New Roman"/>
          <w:b/>
        </w:rPr>
        <w:t>Lighting</w:t>
      </w:r>
      <w:r w:rsidR="00723324">
        <w:rPr>
          <w:rFonts w:ascii="Times New Roman" w:hAnsi="Times New Roman"/>
        </w:rPr>
        <w:t xml:space="preserve">:  The typical office property </w:t>
      </w:r>
      <w:r w:rsidR="0041661B">
        <w:rPr>
          <w:rFonts w:ascii="Times New Roman" w:hAnsi="Times New Roman"/>
        </w:rPr>
        <w:t>consumes</w:t>
      </w:r>
      <w:r w:rsidR="00723324">
        <w:rPr>
          <w:rFonts w:ascii="Times New Roman" w:hAnsi="Times New Roman"/>
        </w:rPr>
        <w:t xml:space="preserve"> 10 to 15 KBtu’s per square foot per year for lighting</w:t>
      </w:r>
      <w:r w:rsidR="0041661B">
        <w:rPr>
          <w:rFonts w:ascii="Times New Roman" w:hAnsi="Times New Roman"/>
        </w:rPr>
        <w:t>,</w:t>
      </w:r>
      <w:r w:rsidR="00723324">
        <w:rPr>
          <w:rFonts w:ascii="Times New Roman" w:hAnsi="Times New Roman"/>
        </w:rPr>
        <w:t xml:space="preserve"> with the best practices at 4 to 7 KBtu’s.  Simply replacing the lights with </w:t>
      </w:r>
      <w:r w:rsidR="0041661B">
        <w:rPr>
          <w:rFonts w:ascii="Times New Roman" w:hAnsi="Times New Roman"/>
        </w:rPr>
        <w:t xml:space="preserve">more modern </w:t>
      </w:r>
      <w:r w:rsidR="00723324">
        <w:rPr>
          <w:rFonts w:ascii="Times New Roman" w:hAnsi="Times New Roman"/>
        </w:rPr>
        <w:t>T5/T8’s and motion sensors</w:t>
      </w:r>
      <w:r w:rsidR="0041661B">
        <w:rPr>
          <w:rFonts w:ascii="Times New Roman" w:hAnsi="Times New Roman"/>
        </w:rPr>
        <w:t>,</w:t>
      </w:r>
      <w:r w:rsidR="00723324">
        <w:rPr>
          <w:rFonts w:ascii="Times New Roman" w:hAnsi="Times New Roman"/>
        </w:rPr>
        <w:t xml:space="preserve"> adding task lighting and day lighting controls and moving to day</w:t>
      </w:r>
      <w:r w:rsidR="000273CB">
        <w:rPr>
          <w:rFonts w:ascii="Times New Roman" w:hAnsi="Times New Roman"/>
        </w:rPr>
        <w:t>-</w:t>
      </w:r>
      <w:r w:rsidR="00723324">
        <w:rPr>
          <w:rFonts w:ascii="Times New Roman" w:hAnsi="Times New Roman"/>
        </w:rPr>
        <w:t>time cleaning will accomplish this energy reduction for a cost of $3 to $5 p</w:t>
      </w:r>
      <w:r w:rsidR="0041661B">
        <w:rPr>
          <w:rFonts w:ascii="Times New Roman" w:hAnsi="Times New Roman"/>
        </w:rPr>
        <w:t xml:space="preserve">er square foot. </w:t>
      </w:r>
      <w:r w:rsidR="000273CB">
        <w:rPr>
          <w:rFonts w:ascii="Times New Roman" w:hAnsi="Times New Roman"/>
        </w:rPr>
        <w:t xml:space="preserve"> </w:t>
      </w:r>
      <w:r w:rsidR="00723324">
        <w:rPr>
          <w:rFonts w:ascii="Times New Roman" w:hAnsi="Times New Roman"/>
        </w:rPr>
        <w:t>LED lighting is even more efficient and prices are rapidly dropping</w:t>
      </w:r>
      <w:r w:rsidR="0041661B">
        <w:rPr>
          <w:rFonts w:ascii="Times New Roman" w:hAnsi="Times New Roman"/>
        </w:rPr>
        <w:t xml:space="preserve">. </w:t>
      </w:r>
      <w:r w:rsidR="00723324">
        <w:rPr>
          <w:rFonts w:ascii="Times New Roman" w:hAnsi="Times New Roman"/>
        </w:rPr>
        <w:t>LED’s are twice as efficient as most fluorescent fixtures</w:t>
      </w:r>
      <w:r w:rsidR="0041661B">
        <w:rPr>
          <w:rFonts w:ascii="Times New Roman" w:hAnsi="Times New Roman"/>
        </w:rPr>
        <w:t>,</w:t>
      </w:r>
      <w:r w:rsidR="00723324">
        <w:rPr>
          <w:rFonts w:ascii="Times New Roman" w:hAnsi="Times New Roman"/>
        </w:rPr>
        <w:t xml:space="preserve"> so even greater efficiency will soon be possible.  Day lighting can be brought in by a variety of new skylights, some with reflectors and sun tracking as well as light diffusers.   </w:t>
      </w:r>
    </w:p>
    <w:p w:rsidR="00723324" w:rsidRPr="006B63A6" w:rsidRDefault="00723324" w:rsidP="00C4613F">
      <w:pPr>
        <w:pStyle w:val="ListParagraph"/>
        <w:spacing w:line="360" w:lineRule="auto"/>
        <w:jc w:val="both"/>
        <w:rPr>
          <w:rFonts w:ascii="Times New Roman" w:hAnsi="Times New Roman"/>
        </w:rPr>
      </w:pPr>
    </w:p>
    <w:p w:rsidR="00904411" w:rsidRDefault="00904411" w:rsidP="00C4613F">
      <w:pPr>
        <w:pStyle w:val="ListParagraph"/>
        <w:spacing w:line="360" w:lineRule="auto"/>
        <w:jc w:val="both"/>
        <w:rPr>
          <w:rFonts w:ascii="Times New Roman" w:hAnsi="Times New Roman"/>
        </w:rPr>
      </w:pPr>
      <w:r w:rsidRPr="0041661B">
        <w:rPr>
          <w:rFonts w:ascii="Times New Roman" w:hAnsi="Times New Roman"/>
          <w:b/>
        </w:rPr>
        <w:t>Ventilation</w:t>
      </w:r>
      <w:r w:rsidR="00723324">
        <w:rPr>
          <w:rFonts w:ascii="Times New Roman" w:hAnsi="Times New Roman"/>
        </w:rPr>
        <w:t xml:space="preserve">:  The ideal </w:t>
      </w:r>
      <w:r w:rsidR="0041661B">
        <w:rPr>
          <w:rFonts w:ascii="Times New Roman" w:hAnsi="Times New Roman"/>
        </w:rPr>
        <w:t>situation for indoor air quality and energy use reduction</w:t>
      </w:r>
      <w:r w:rsidR="00723324">
        <w:rPr>
          <w:rFonts w:ascii="Times New Roman" w:hAnsi="Times New Roman"/>
        </w:rPr>
        <w:t xml:space="preserve"> is operable windows</w:t>
      </w:r>
      <w:r w:rsidR="008F7948">
        <w:rPr>
          <w:rFonts w:ascii="Times New Roman" w:hAnsi="Times New Roman"/>
        </w:rPr>
        <w:t>,</w:t>
      </w:r>
      <w:r w:rsidR="00723324">
        <w:rPr>
          <w:rFonts w:ascii="Times New Roman" w:hAnsi="Times New Roman"/>
        </w:rPr>
        <w:t xml:space="preserve"> but that i</w:t>
      </w:r>
      <w:r w:rsidR="0041661B">
        <w:rPr>
          <w:rFonts w:ascii="Times New Roman" w:hAnsi="Times New Roman"/>
        </w:rPr>
        <w:t>s considered a deeper retrofit.</w:t>
      </w:r>
      <w:r w:rsidR="00723324">
        <w:rPr>
          <w:rFonts w:ascii="Times New Roman" w:hAnsi="Times New Roman"/>
        </w:rPr>
        <w:t xml:space="preserve"> </w:t>
      </w:r>
      <w:r w:rsidR="008F7948">
        <w:rPr>
          <w:rFonts w:ascii="Times New Roman" w:hAnsi="Times New Roman"/>
        </w:rPr>
        <w:t>The typical office property requires 6 to 10 KBtu’s per square foot per year and can reduce that to 3 to 6 KBtu’s for a co</w:t>
      </w:r>
      <w:r w:rsidR="0041661B">
        <w:rPr>
          <w:rFonts w:ascii="Times New Roman" w:hAnsi="Times New Roman"/>
        </w:rPr>
        <w:t>st of $2 to $5 per square foot.</w:t>
      </w:r>
      <w:r w:rsidR="008F7948">
        <w:rPr>
          <w:rFonts w:ascii="Times New Roman" w:hAnsi="Times New Roman"/>
        </w:rPr>
        <w:t xml:space="preserve"> The work required includes sealing air ducts, optimizing air handlers and terminal units and better balancing heating and cooling with integration, if possible, with shade controls and windows.  In some cases</w:t>
      </w:r>
      <w:r w:rsidR="000273CB">
        <w:rPr>
          <w:rFonts w:ascii="Times New Roman" w:hAnsi="Times New Roman"/>
        </w:rPr>
        <w:t>,</w:t>
      </w:r>
      <w:r w:rsidR="008F7948">
        <w:rPr>
          <w:rFonts w:ascii="Times New Roman" w:hAnsi="Times New Roman"/>
        </w:rPr>
        <w:t xml:space="preserve"> large fans are brought in and the maximum comfortable temperature can be raised prior to any cooling. </w:t>
      </w:r>
    </w:p>
    <w:p w:rsidR="00723324" w:rsidRDefault="00723324" w:rsidP="00C4613F">
      <w:pPr>
        <w:pStyle w:val="ListParagraph"/>
        <w:spacing w:line="360" w:lineRule="auto"/>
        <w:jc w:val="both"/>
        <w:rPr>
          <w:rFonts w:ascii="Times New Roman" w:hAnsi="Times New Roman"/>
        </w:rPr>
      </w:pPr>
    </w:p>
    <w:p w:rsidR="008F7948" w:rsidRDefault="00904411" w:rsidP="00C4613F">
      <w:pPr>
        <w:pStyle w:val="ListParagraph"/>
        <w:spacing w:line="360" w:lineRule="auto"/>
        <w:jc w:val="both"/>
        <w:rPr>
          <w:rFonts w:ascii="Times New Roman" w:hAnsi="Times New Roman"/>
        </w:rPr>
      </w:pPr>
      <w:r w:rsidRPr="0041661B">
        <w:rPr>
          <w:rFonts w:ascii="Times New Roman" w:hAnsi="Times New Roman"/>
          <w:b/>
        </w:rPr>
        <w:t>Cooling</w:t>
      </w:r>
      <w:r w:rsidR="008F7948">
        <w:rPr>
          <w:rFonts w:ascii="Times New Roman" w:hAnsi="Times New Roman"/>
        </w:rPr>
        <w:t>:  Typical office buildings require 15 to 40 KBtu’s per square foot per year for cooling, except f</w:t>
      </w:r>
      <w:r w:rsidR="0041661B">
        <w:rPr>
          <w:rFonts w:ascii="Times New Roman" w:hAnsi="Times New Roman"/>
        </w:rPr>
        <w:t>or those in cooler climate zones.</w:t>
      </w:r>
      <w:r w:rsidR="008F7948">
        <w:rPr>
          <w:rFonts w:ascii="Times New Roman" w:hAnsi="Times New Roman"/>
        </w:rPr>
        <w:t xml:space="preserve"> The current bes</w:t>
      </w:r>
      <w:r w:rsidR="000273CB">
        <w:rPr>
          <w:rFonts w:ascii="Times New Roman" w:hAnsi="Times New Roman"/>
        </w:rPr>
        <w:t xml:space="preserve">t practices are 10 to 20 KBtu’s; </w:t>
      </w:r>
      <w:r w:rsidR="008F7948">
        <w:rPr>
          <w:rFonts w:ascii="Times New Roman" w:hAnsi="Times New Roman"/>
        </w:rPr>
        <w:t xml:space="preserve">it costs about $3 to $7 dollars per square foot </w:t>
      </w:r>
      <w:r w:rsidR="0041661B">
        <w:rPr>
          <w:rFonts w:ascii="Times New Roman" w:hAnsi="Times New Roman"/>
        </w:rPr>
        <w:t>to reach these with a retrofit.</w:t>
      </w:r>
      <w:r w:rsidR="008F7948">
        <w:rPr>
          <w:rFonts w:ascii="Times New Roman" w:hAnsi="Times New Roman"/>
        </w:rPr>
        <w:t xml:space="preserve"> The typical strategies include replacing primary equipment, drying the air prior to cooling, adding la</w:t>
      </w:r>
      <w:r w:rsidR="0041661B">
        <w:rPr>
          <w:rFonts w:ascii="Times New Roman" w:hAnsi="Times New Roman"/>
        </w:rPr>
        <w:t xml:space="preserve">rge fans and better ventilation, </w:t>
      </w:r>
      <w:r w:rsidR="008F7948">
        <w:rPr>
          <w:rFonts w:ascii="Times New Roman" w:hAnsi="Times New Roman"/>
        </w:rPr>
        <w:t xml:space="preserve">so that the equipment capacity can be decreased. Shading windows also helps control heat gain or adding glazing, although this is considered a deeper retrofit.  </w:t>
      </w:r>
    </w:p>
    <w:p w:rsidR="008F7948" w:rsidRPr="006B63A6" w:rsidRDefault="008F7948" w:rsidP="00C4613F">
      <w:pPr>
        <w:pStyle w:val="ListParagraph"/>
        <w:spacing w:line="360" w:lineRule="auto"/>
        <w:jc w:val="both"/>
        <w:rPr>
          <w:rFonts w:ascii="Times New Roman" w:hAnsi="Times New Roman"/>
        </w:rPr>
      </w:pPr>
    </w:p>
    <w:p w:rsidR="00904411" w:rsidRDefault="00904411" w:rsidP="00C4613F">
      <w:pPr>
        <w:pStyle w:val="ListParagraph"/>
        <w:spacing w:line="360" w:lineRule="auto"/>
        <w:jc w:val="both"/>
        <w:rPr>
          <w:rFonts w:ascii="Times New Roman" w:hAnsi="Times New Roman"/>
        </w:rPr>
      </w:pPr>
      <w:r w:rsidRPr="0041661B">
        <w:rPr>
          <w:rFonts w:ascii="Times New Roman" w:hAnsi="Times New Roman"/>
          <w:b/>
        </w:rPr>
        <w:t>Heating</w:t>
      </w:r>
      <w:r w:rsidR="008F7948">
        <w:rPr>
          <w:rFonts w:ascii="Times New Roman" w:hAnsi="Times New Roman"/>
        </w:rPr>
        <w:t xml:space="preserve">:  </w:t>
      </w:r>
      <w:r w:rsidR="0031052F">
        <w:rPr>
          <w:rFonts w:ascii="Times New Roman" w:hAnsi="Times New Roman"/>
        </w:rPr>
        <w:t>The typical office property requires 5 to 15 KBtu’s per square foot per year for heat</w:t>
      </w:r>
      <w:r w:rsidR="0041661B">
        <w:rPr>
          <w:rFonts w:ascii="Times New Roman" w:hAnsi="Times New Roman"/>
        </w:rPr>
        <w:t>,</w:t>
      </w:r>
      <w:r w:rsidR="0031052F">
        <w:rPr>
          <w:rFonts w:ascii="Times New Roman" w:hAnsi="Times New Roman"/>
        </w:rPr>
        <w:t xml:space="preserve"> while the best practices are at 2 to 8 KBt</w:t>
      </w:r>
      <w:r w:rsidR="0041661B">
        <w:rPr>
          <w:rFonts w:ascii="Times New Roman" w:hAnsi="Times New Roman"/>
        </w:rPr>
        <w:t>u’s.</w:t>
      </w:r>
      <w:r w:rsidR="0031052F">
        <w:rPr>
          <w:rFonts w:ascii="Times New Roman" w:hAnsi="Times New Roman"/>
        </w:rPr>
        <w:t xml:space="preserve"> This </w:t>
      </w:r>
      <w:r w:rsidR="0041661B">
        <w:rPr>
          <w:rFonts w:ascii="Times New Roman" w:hAnsi="Times New Roman"/>
        </w:rPr>
        <w:t>can be</w:t>
      </w:r>
      <w:r w:rsidR="0031052F">
        <w:rPr>
          <w:rFonts w:ascii="Times New Roman" w:hAnsi="Times New Roman"/>
        </w:rPr>
        <w:t xml:space="preserve"> accomplished for </w:t>
      </w:r>
      <w:r w:rsidR="0041661B">
        <w:rPr>
          <w:rFonts w:ascii="Times New Roman" w:hAnsi="Times New Roman"/>
        </w:rPr>
        <w:t>just</w:t>
      </w:r>
      <w:r w:rsidR="0031052F">
        <w:rPr>
          <w:rFonts w:ascii="Times New Roman" w:hAnsi="Times New Roman"/>
        </w:rPr>
        <w:t xml:space="preserve"> $1 to $2 dollars per square foot by replacing primary equipment, improving contr</w:t>
      </w:r>
      <w:r w:rsidR="00CA45E1">
        <w:rPr>
          <w:rFonts w:ascii="Times New Roman" w:hAnsi="Times New Roman"/>
        </w:rPr>
        <w:t xml:space="preserve">ols, optimizing terminal units and </w:t>
      </w:r>
      <w:r w:rsidR="0031052F">
        <w:rPr>
          <w:rFonts w:ascii="Times New Roman" w:hAnsi="Times New Roman"/>
        </w:rPr>
        <w:t>balancing heating and cooling with more localized controls.</w:t>
      </w:r>
    </w:p>
    <w:p w:rsidR="008F7948" w:rsidRDefault="008F7948" w:rsidP="00C4613F">
      <w:pPr>
        <w:pStyle w:val="ListParagraph"/>
        <w:spacing w:line="360" w:lineRule="auto"/>
        <w:jc w:val="both"/>
        <w:rPr>
          <w:rFonts w:ascii="Times New Roman" w:hAnsi="Times New Roman"/>
        </w:rPr>
      </w:pPr>
    </w:p>
    <w:p w:rsidR="0041661B" w:rsidRDefault="0041661B" w:rsidP="0041661B">
      <w:pPr>
        <w:pStyle w:val="ListParagraph"/>
        <w:spacing w:line="360" w:lineRule="auto"/>
        <w:jc w:val="both"/>
        <w:rPr>
          <w:rFonts w:ascii="Times New Roman" w:hAnsi="Times New Roman"/>
        </w:rPr>
      </w:pPr>
      <w:r w:rsidRPr="0041661B">
        <w:rPr>
          <w:rFonts w:ascii="Times New Roman" w:hAnsi="Times New Roman"/>
          <w:b/>
        </w:rPr>
        <w:t>Water conservation</w:t>
      </w:r>
      <w:r>
        <w:rPr>
          <w:rFonts w:ascii="Times New Roman" w:hAnsi="Times New Roman"/>
        </w:rPr>
        <w:t>: Water flow equipment investments are economically justified when fixtures must be replaced, but there is no reasonable economic payoff at present as water prices are often too low for any kind of significant return on investment or reasonable payback.</w:t>
      </w:r>
    </w:p>
    <w:p w:rsidR="0041661B" w:rsidRPr="006B63A6" w:rsidRDefault="0041661B" w:rsidP="00C4613F">
      <w:pPr>
        <w:pStyle w:val="ListParagraph"/>
        <w:spacing w:line="360" w:lineRule="auto"/>
        <w:jc w:val="both"/>
        <w:rPr>
          <w:rFonts w:ascii="Times New Roman" w:hAnsi="Times New Roman"/>
        </w:rPr>
      </w:pPr>
    </w:p>
    <w:p w:rsidR="00C04F77" w:rsidRDefault="00904411" w:rsidP="00A6461B">
      <w:pPr>
        <w:pStyle w:val="ListParagraph"/>
        <w:spacing w:line="360" w:lineRule="auto"/>
        <w:jc w:val="both"/>
        <w:rPr>
          <w:rFonts w:ascii="Times New Roman" w:hAnsi="Times New Roman"/>
        </w:rPr>
      </w:pPr>
      <w:r w:rsidRPr="0041661B">
        <w:rPr>
          <w:rFonts w:ascii="Times New Roman" w:hAnsi="Times New Roman"/>
          <w:b/>
        </w:rPr>
        <w:t>Deeper Retrofits</w:t>
      </w:r>
      <w:r w:rsidR="008F7948">
        <w:rPr>
          <w:rFonts w:ascii="Times New Roman" w:hAnsi="Times New Roman"/>
        </w:rPr>
        <w:t>: For $10 to $75 per square foot</w:t>
      </w:r>
      <w:r w:rsidR="0041661B">
        <w:rPr>
          <w:rFonts w:ascii="Times New Roman" w:hAnsi="Times New Roman"/>
        </w:rPr>
        <w:t>,</w:t>
      </w:r>
      <w:r w:rsidR="008F7948">
        <w:rPr>
          <w:rFonts w:ascii="Times New Roman" w:hAnsi="Times New Roman"/>
        </w:rPr>
        <w:t xml:space="preserve"> deeper retrofits can be accomplished</w:t>
      </w:r>
      <w:r w:rsidR="0041661B">
        <w:rPr>
          <w:rFonts w:ascii="Times New Roman" w:hAnsi="Times New Roman"/>
        </w:rPr>
        <w:t>,</w:t>
      </w:r>
      <w:r w:rsidR="008F7948">
        <w:rPr>
          <w:rFonts w:ascii="Times New Roman" w:hAnsi="Times New Roman"/>
        </w:rPr>
        <w:t xml:space="preserve"> including envelope sealing, improved glazing, additional insulation, chilled beams or some for</w:t>
      </w:r>
      <w:r w:rsidR="0041661B">
        <w:rPr>
          <w:rFonts w:ascii="Times New Roman" w:hAnsi="Times New Roman"/>
        </w:rPr>
        <w:t>m of radiant cooling.</w:t>
      </w:r>
      <w:r w:rsidR="00CA45E1">
        <w:rPr>
          <w:rFonts w:ascii="Times New Roman" w:hAnsi="Times New Roman"/>
        </w:rPr>
        <w:t xml:space="preserve"> Computer-</w:t>
      </w:r>
      <w:r w:rsidR="008F7948">
        <w:rPr>
          <w:rFonts w:ascii="Times New Roman" w:hAnsi="Times New Roman"/>
        </w:rPr>
        <w:t xml:space="preserve">controlled window shades may be considered along with solar photovoltaic cells or </w:t>
      </w:r>
      <w:r w:rsidR="0041661B">
        <w:rPr>
          <w:rFonts w:ascii="Times New Roman" w:hAnsi="Times New Roman"/>
        </w:rPr>
        <w:t xml:space="preserve">wind </w:t>
      </w:r>
      <w:r w:rsidR="0041661B" w:rsidRPr="0041661B">
        <w:rPr>
          <w:rFonts w:ascii="Times New Roman" w:hAnsi="Times New Roman"/>
        </w:rPr>
        <w:t>turbines.</w:t>
      </w:r>
      <w:r w:rsidR="0031052F" w:rsidRPr="0041661B">
        <w:rPr>
          <w:rFonts w:ascii="Times New Roman" w:hAnsi="Times New Roman"/>
        </w:rPr>
        <w:t xml:space="preserve"> Energy recapture systems can also be employed on elevators.</w:t>
      </w:r>
      <w:r w:rsidR="008F7948" w:rsidRPr="0041661B">
        <w:rPr>
          <w:rFonts w:ascii="Times New Roman" w:hAnsi="Times New Roman"/>
        </w:rPr>
        <w:t xml:space="preserve"> Such strategies </w:t>
      </w:r>
      <w:r w:rsidR="0041661B" w:rsidRPr="0041661B">
        <w:rPr>
          <w:rFonts w:ascii="Times New Roman" w:hAnsi="Times New Roman"/>
        </w:rPr>
        <w:t xml:space="preserve">typically </w:t>
      </w:r>
      <w:r w:rsidR="008F7948" w:rsidRPr="0041661B">
        <w:rPr>
          <w:rFonts w:ascii="Times New Roman" w:hAnsi="Times New Roman"/>
        </w:rPr>
        <w:t xml:space="preserve">reduce the energy consumed by 10 to 25 KBtu’s and can add energy generation equal to that consumed in some cases.   </w:t>
      </w:r>
    </w:p>
    <w:p w:rsidR="005A6B23" w:rsidRDefault="005A6B23" w:rsidP="00A6461B">
      <w:pPr>
        <w:pStyle w:val="ListParagraph"/>
        <w:spacing w:line="360" w:lineRule="auto"/>
        <w:jc w:val="both"/>
        <w:rPr>
          <w:rFonts w:ascii="Times New Roman" w:hAnsi="Times New Roman"/>
        </w:rPr>
      </w:pPr>
    </w:p>
    <w:p w:rsidR="005A6B23" w:rsidRPr="00A6461B" w:rsidRDefault="005A6B23" w:rsidP="005A6B23">
      <w:pPr>
        <w:pStyle w:val="ListParagraph"/>
        <w:spacing w:line="360" w:lineRule="auto"/>
        <w:ind w:left="0"/>
        <w:jc w:val="both"/>
        <w:rPr>
          <w:rFonts w:ascii="Times New Roman" w:hAnsi="Times New Roman"/>
        </w:rPr>
      </w:pPr>
      <w:r>
        <w:rPr>
          <w:rFonts w:ascii="Times New Roman" w:hAnsi="Times New Roman"/>
        </w:rPr>
        <w:t>Exhibit</w:t>
      </w:r>
      <w:r w:rsidR="002C7368">
        <w:rPr>
          <w:rFonts w:ascii="Times New Roman" w:hAnsi="Times New Roman"/>
        </w:rPr>
        <w:t xml:space="preserve"> 11 provides an overview of the renovation strategies, their costs and estimated savings.</w:t>
      </w:r>
      <w:r w:rsidR="00706E5F">
        <w:rPr>
          <w:rFonts w:ascii="Times New Roman" w:hAnsi="Times New Roman"/>
        </w:rPr>
        <w:t xml:space="preserve"> Quite clearly, the capitalized benefits of a light retrofit (some $25 per square foot) outweigh the costs, </w:t>
      </w:r>
      <w:r w:rsidR="00706E5F" w:rsidRPr="00706E5F">
        <w:rPr>
          <w:rFonts w:ascii="Times New Roman" w:hAnsi="Times New Roman"/>
          <w:i/>
        </w:rPr>
        <w:t>ceteris paribus</w:t>
      </w:r>
      <w:r w:rsidR="00706E5F" w:rsidRPr="00706E5F">
        <w:rPr>
          <w:rFonts w:ascii="Times New Roman" w:hAnsi="Times New Roman"/>
        </w:rPr>
        <w:t>.</w:t>
      </w:r>
    </w:p>
    <w:p w:rsidR="00C04F77" w:rsidRDefault="00C04F77" w:rsidP="00C4613F">
      <w:pPr>
        <w:jc w:val="both"/>
        <w:rPr>
          <w:rFonts w:ascii="Times New Roman" w:hAnsi="Times New Roman"/>
          <w:b/>
        </w:rPr>
      </w:pPr>
    </w:p>
    <w:p w:rsidR="0031052F" w:rsidRDefault="0031052F" w:rsidP="00A6461B">
      <w:pPr>
        <w:numPr>
          <w:ilvl w:val="0"/>
          <w:numId w:val="5"/>
        </w:numPr>
        <w:spacing w:after="240"/>
        <w:jc w:val="both"/>
        <w:rPr>
          <w:rFonts w:ascii="Times New Roman" w:hAnsi="Times New Roman"/>
          <w:b/>
        </w:rPr>
      </w:pPr>
      <w:r w:rsidRPr="0031052F">
        <w:rPr>
          <w:rFonts w:ascii="Times New Roman" w:hAnsi="Times New Roman"/>
          <w:b/>
        </w:rPr>
        <w:t>Summary and Conclusions</w:t>
      </w:r>
    </w:p>
    <w:p w:rsidR="00706E5F" w:rsidRDefault="00240C57" w:rsidP="0075317A">
      <w:pPr>
        <w:spacing w:line="360" w:lineRule="auto"/>
        <w:ind w:firstLine="720"/>
        <w:jc w:val="both"/>
        <w:rPr>
          <w:rFonts w:ascii="Times New Roman" w:hAnsi="Times New Roman"/>
        </w:rPr>
      </w:pPr>
      <w:r>
        <w:rPr>
          <w:rFonts w:ascii="Times New Roman" w:hAnsi="Times New Roman"/>
        </w:rPr>
        <w:t xml:space="preserve">Existing building retrofits </w:t>
      </w:r>
      <w:r w:rsidR="00A6461B">
        <w:rPr>
          <w:rFonts w:ascii="Times New Roman" w:hAnsi="Times New Roman"/>
        </w:rPr>
        <w:t>have</w:t>
      </w:r>
      <w:r>
        <w:rPr>
          <w:rFonts w:ascii="Times New Roman" w:hAnsi="Times New Roman"/>
        </w:rPr>
        <w:t xml:space="preserve"> accelerate</w:t>
      </w:r>
      <w:r w:rsidR="00A6461B">
        <w:rPr>
          <w:rFonts w:ascii="Times New Roman" w:hAnsi="Times New Roman"/>
        </w:rPr>
        <w:t>d</w:t>
      </w:r>
      <w:r>
        <w:rPr>
          <w:rFonts w:ascii="Times New Roman" w:hAnsi="Times New Roman"/>
        </w:rPr>
        <w:t xml:space="preserve"> over </w:t>
      </w:r>
      <w:r w:rsidR="00A6461B">
        <w:rPr>
          <w:rFonts w:ascii="Times New Roman" w:hAnsi="Times New Roman"/>
        </w:rPr>
        <w:t>past</w:t>
      </w:r>
      <w:r>
        <w:rPr>
          <w:rFonts w:ascii="Times New Roman" w:hAnsi="Times New Roman"/>
        </w:rPr>
        <w:t xml:space="preserve"> </w:t>
      </w:r>
      <w:r w:rsidR="00A6461B">
        <w:rPr>
          <w:rFonts w:ascii="Times New Roman" w:hAnsi="Times New Roman"/>
        </w:rPr>
        <w:t>several years.</w:t>
      </w:r>
      <w:r>
        <w:rPr>
          <w:rFonts w:ascii="Times New Roman" w:hAnsi="Times New Roman"/>
        </w:rPr>
        <w:t xml:space="preserve"> </w:t>
      </w:r>
      <w:r w:rsidR="00CA45E1">
        <w:rPr>
          <w:rFonts w:ascii="Times New Roman" w:hAnsi="Times New Roman"/>
        </w:rPr>
        <w:t xml:space="preserve">Since 2008, </w:t>
      </w:r>
      <w:r w:rsidR="00A6461B">
        <w:rPr>
          <w:rFonts w:ascii="Times New Roman" w:hAnsi="Times New Roman"/>
        </w:rPr>
        <w:t xml:space="preserve">achieving </w:t>
      </w:r>
      <w:r>
        <w:rPr>
          <w:rFonts w:ascii="Times New Roman" w:hAnsi="Times New Roman"/>
        </w:rPr>
        <w:t xml:space="preserve">LEED </w:t>
      </w:r>
      <w:r w:rsidR="00A6461B">
        <w:rPr>
          <w:rFonts w:ascii="Times New Roman" w:hAnsi="Times New Roman"/>
        </w:rPr>
        <w:t xml:space="preserve">certification for Existing Buildings has become an </w:t>
      </w:r>
      <w:r>
        <w:rPr>
          <w:rFonts w:ascii="Times New Roman" w:hAnsi="Times New Roman"/>
        </w:rPr>
        <w:t>attainable goal</w:t>
      </w:r>
      <w:r w:rsidR="000001B1">
        <w:rPr>
          <w:rFonts w:ascii="Times New Roman" w:hAnsi="Times New Roman"/>
        </w:rPr>
        <w:t xml:space="preserve"> and it now outpaces LEED certification for New Construction.</w:t>
      </w:r>
      <w:r>
        <w:rPr>
          <w:rFonts w:ascii="Times New Roman" w:hAnsi="Times New Roman"/>
        </w:rPr>
        <w:t xml:space="preserve"> </w:t>
      </w:r>
      <w:r w:rsidR="000001B1">
        <w:rPr>
          <w:rFonts w:ascii="Times New Roman" w:hAnsi="Times New Roman"/>
        </w:rPr>
        <w:t>This paper is the first to address the financial implications of LEED “EBOM” certification in the US commercial property market. Using a survey among 374 buildings, an empirical analysis of data on rents and occupancy, and anecdotal information on retrofit costs, we document that i</w:t>
      </w:r>
      <w:r>
        <w:rPr>
          <w:rFonts w:ascii="Times New Roman" w:hAnsi="Times New Roman"/>
        </w:rPr>
        <w:t>nvestment</w:t>
      </w:r>
      <w:r w:rsidR="000001B1">
        <w:rPr>
          <w:rFonts w:ascii="Times New Roman" w:hAnsi="Times New Roman"/>
        </w:rPr>
        <w:t>s</w:t>
      </w:r>
      <w:r>
        <w:rPr>
          <w:rFonts w:ascii="Times New Roman" w:hAnsi="Times New Roman"/>
        </w:rPr>
        <w:t xml:space="preserve"> in </w:t>
      </w:r>
      <w:r w:rsidR="000001B1">
        <w:rPr>
          <w:rFonts w:ascii="Times New Roman" w:hAnsi="Times New Roman"/>
        </w:rPr>
        <w:t xml:space="preserve">sustainability </w:t>
      </w:r>
      <w:r>
        <w:rPr>
          <w:rFonts w:ascii="Times New Roman" w:hAnsi="Times New Roman"/>
        </w:rPr>
        <w:t xml:space="preserve">features and strategies </w:t>
      </w:r>
      <w:r w:rsidR="000001B1">
        <w:rPr>
          <w:rFonts w:ascii="Times New Roman" w:hAnsi="Times New Roman"/>
        </w:rPr>
        <w:t xml:space="preserve">seem to </w:t>
      </w:r>
      <w:r>
        <w:rPr>
          <w:rFonts w:ascii="Times New Roman" w:hAnsi="Times New Roman"/>
        </w:rPr>
        <w:t>result in value impacts likely to exceed costs</w:t>
      </w:r>
      <w:r w:rsidR="00706E5F">
        <w:rPr>
          <w:rFonts w:ascii="Times New Roman" w:hAnsi="Times New Roman"/>
        </w:rPr>
        <w:t xml:space="preserve">. </w:t>
      </w:r>
      <w:r w:rsidR="00C02073">
        <w:rPr>
          <w:rFonts w:ascii="Times New Roman" w:hAnsi="Times New Roman"/>
        </w:rPr>
        <w:t xml:space="preserve">Our </w:t>
      </w:r>
      <w:r w:rsidR="00706E5F">
        <w:rPr>
          <w:rFonts w:ascii="Times New Roman" w:hAnsi="Times New Roman"/>
        </w:rPr>
        <w:t>LEED for Existing Building</w:t>
      </w:r>
      <w:r w:rsidR="00C02073">
        <w:rPr>
          <w:rFonts w:ascii="Times New Roman" w:hAnsi="Times New Roman"/>
        </w:rPr>
        <w:t xml:space="preserve"> sample, which included most of the renovated buildings in major cities from 2005 through 2010</w:t>
      </w:r>
      <w:r w:rsidR="00706E5F">
        <w:rPr>
          <w:rFonts w:ascii="Times New Roman" w:hAnsi="Times New Roman"/>
        </w:rPr>
        <w:t>, exhibits</w:t>
      </w:r>
      <w:r>
        <w:rPr>
          <w:rFonts w:ascii="Times New Roman" w:hAnsi="Times New Roman"/>
        </w:rPr>
        <w:t xml:space="preserve"> </w:t>
      </w:r>
      <w:r w:rsidR="000001B1">
        <w:rPr>
          <w:rFonts w:ascii="Times New Roman" w:hAnsi="Times New Roman"/>
        </w:rPr>
        <w:t>significant</w:t>
      </w:r>
      <w:r>
        <w:rPr>
          <w:rFonts w:ascii="Times New Roman" w:hAnsi="Times New Roman"/>
        </w:rPr>
        <w:t xml:space="preserve"> rental </w:t>
      </w:r>
      <w:r w:rsidR="00C02073">
        <w:rPr>
          <w:rFonts w:ascii="Times New Roman" w:hAnsi="Times New Roman"/>
        </w:rPr>
        <w:t>premiums</w:t>
      </w:r>
      <w:r>
        <w:rPr>
          <w:rFonts w:ascii="Times New Roman" w:hAnsi="Times New Roman"/>
        </w:rPr>
        <w:t xml:space="preserve"> </w:t>
      </w:r>
      <w:r w:rsidR="00C02073">
        <w:rPr>
          <w:rFonts w:ascii="Times New Roman" w:hAnsi="Times New Roman"/>
        </w:rPr>
        <w:t xml:space="preserve">compared </w:t>
      </w:r>
      <w:r w:rsidR="00706E5F">
        <w:rPr>
          <w:rFonts w:ascii="Times New Roman" w:hAnsi="Times New Roman"/>
        </w:rPr>
        <w:t>to</w:t>
      </w:r>
      <w:r w:rsidR="00C02073">
        <w:rPr>
          <w:rFonts w:ascii="Times New Roman" w:hAnsi="Times New Roman"/>
        </w:rPr>
        <w:t xml:space="preserve"> a large</w:t>
      </w:r>
      <w:r w:rsidR="00706E5F">
        <w:rPr>
          <w:rFonts w:ascii="Times New Roman" w:hAnsi="Times New Roman"/>
        </w:rPr>
        <w:t>, matched</w:t>
      </w:r>
      <w:r w:rsidR="00C02073">
        <w:rPr>
          <w:rFonts w:ascii="Times New Roman" w:hAnsi="Times New Roman"/>
        </w:rPr>
        <w:t xml:space="preserve"> control sample</w:t>
      </w:r>
      <w:r>
        <w:rPr>
          <w:rFonts w:ascii="Times New Roman" w:hAnsi="Times New Roman"/>
        </w:rPr>
        <w:t xml:space="preserve">. </w:t>
      </w:r>
      <w:r w:rsidR="0075317A">
        <w:rPr>
          <w:rFonts w:ascii="Times New Roman" w:hAnsi="Times New Roman"/>
          <w:lang w:bidi="en-US"/>
        </w:rPr>
        <w:t xml:space="preserve">In addition, there are other operational cost factors that favor “green” buildings over conventional buildings, for example, </w:t>
      </w:r>
      <w:r w:rsidR="0075317A">
        <w:rPr>
          <w:rFonts w:ascii="Times New Roman" w:hAnsi="Times New Roman"/>
        </w:rPr>
        <w:t>some insurance firms now charge lower premiums once buildings have been upgraded to LEED.</w:t>
      </w:r>
      <w:r w:rsidR="0075317A">
        <w:rPr>
          <w:rStyle w:val="FootnoteReference"/>
          <w:rFonts w:ascii="Times New Roman" w:hAnsi="Times New Roman"/>
        </w:rPr>
        <w:footnoteReference w:id="8"/>
      </w:r>
      <w:r w:rsidR="0075317A">
        <w:rPr>
          <w:rFonts w:ascii="Times New Roman" w:hAnsi="Times New Roman"/>
        </w:rPr>
        <w:t xml:space="preserve"> </w:t>
      </w:r>
    </w:p>
    <w:p w:rsidR="00AD727C" w:rsidRDefault="003C6958" w:rsidP="00706E5F">
      <w:pPr>
        <w:spacing w:line="360" w:lineRule="auto"/>
        <w:ind w:firstLine="720"/>
        <w:jc w:val="both"/>
        <w:rPr>
          <w:rFonts w:ascii="Times New Roman" w:hAnsi="Times New Roman"/>
        </w:rPr>
      </w:pPr>
      <w:r>
        <w:rPr>
          <w:rFonts w:ascii="Times New Roman" w:hAnsi="Times New Roman"/>
        </w:rPr>
        <w:t>Our results are consistent with those findings ob</w:t>
      </w:r>
      <w:r w:rsidR="00CA45E1">
        <w:rPr>
          <w:rFonts w:ascii="Times New Roman" w:hAnsi="Times New Roman"/>
        </w:rPr>
        <w:t>served on new construction LEED-</w:t>
      </w:r>
      <w:r>
        <w:rPr>
          <w:rFonts w:ascii="Times New Roman" w:hAnsi="Times New Roman"/>
        </w:rPr>
        <w:t>certified buildings</w:t>
      </w:r>
      <w:r w:rsidR="00706E5F">
        <w:rPr>
          <w:rFonts w:ascii="Times New Roman" w:hAnsi="Times New Roman"/>
        </w:rPr>
        <w:t>.</w:t>
      </w:r>
      <w:r w:rsidR="00C02073">
        <w:rPr>
          <w:rFonts w:ascii="Times New Roman" w:hAnsi="Times New Roman"/>
        </w:rPr>
        <w:t xml:space="preserve"> Most </w:t>
      </w:r>
      <w:r w:rsidR="00AD727C">
        <w:rPr>
          <w:rFonts w:ascii="Times New Roman" w:hAnsi="Times New Roman"/>
        </w:rPr>
        <w:t xml:space="preserve">salient </w:t>
      </w:r>
      <w:r w:rsidR="00C02073">
        <w:rPr>
          <w:rFonts w:ascii="Times New Roman" w:hAnsi="Times New Roman"/>
        </w:rPr>
        <w:t xml:space="preserve">is the fact that </w:t>
      </w:r>
      <w:r w:rsidR="00AD727C">
        <w:rPr>
          <w:rFonts w:ascii="Times New Roman" w:hAnsi="Times New Roman"/>
        </w:rPr>
        <w:t xml:space="preserve">the types of office space </w:t>
      </w:r>
      <w:r w:rsidR="00C02073">
        <w:rPr>
          <w:rFonts w:ascii="Times New Roman" w:hAnsi="Times New Roman"/>
        </w:rPr>
        <w:t xml:space="preserve">renovations </w:t>
      </w:r>
      <w:r w:rsidR="00AD727C">
        <w:rPr>
          <w:rFonts w:ascii="Times New Roman" w:hAnsi="Times New Roman"/>
        </w:rPr>
        <w:t xml:space="preserve">observed here </w:t>
      </w:r>
      <w:r w:rsidR="00C02073">
        <w:rPr>
          <w:rFonts w:ascii="Times New Roman" w:hAnsi="Times New Roman"/>
        </w:rPr>
        <w:t>for improved productivity and energy efficiency</w:t>
      </w:r>
      <w:r w:rsidR="00AD727C">
        <w:rPr>
          <w:rFonts w:ascii="Times New Roman" w:hAnsi="Times New Roman"/>
        </w:rPr>
        <w:t xml:space="preserve"> a</w:t>
      </w:r>
      <w:r>
        <w:rPr>
          <w:rFonts w:ascii="Times New Roman" w:hAnsi="Times New Roman"/>
        </w:rPr>
        <w:t>ppl</w:t>
      </w:r>
      <w:r w:rsidR="00AD727C">
        <w:rPr>
          <w:rFonts w:ascii="Times New Roman" w:hAnsi="Times New Roman"/>
        </w:rPr>
        <w:t>y</w:t>
      </w:r>
      <w:r>
        <w:rPr>
          <w:rFonts w:ascii="Times New Roman" w:hAnsi="Times New Roman"/>
        </w:rPr>
        <w:t xml:space="preserve"> to a much larger pool of candidate properties.</w:t>
      </w:r>
      <w:r w:rsidR="00706E5F">
        <w:rPr>
          <w:rFonts w:ascii="Times New Roman" w:hAnsi="Times New Roman"/>
        </w:rPr>
        <w:t xml:space="preserve"> </w:t>
      </w:r>
      <w:r w:rsidR="000001B1" w:rsidRPr="00A120AC">
        <w:rPr>
          <w:rFonts w:ascii="Times New Roman" w:hAnsi="Times New Roman"/>
          <w:lang w:bidi="en-US"/>
        </w:rPr>
        <w:t xml:space="preserve">These </w:t>
      </w:r>
      <w:r w:rsidR="000001B1">
        <w:rPr>
          <w:rFonts w:ascii="Times New Roman" w:hAnsi="Times New Roman"/>
          <w:lang w:bidi="en-US"/>
        </w:rPr>
        <w:t xml:space="preserve">market </w:t>
      </w:r>
      <w:r w:rsidR="000001B1" w:rsidRPr="00A120AC">
        <w:rPr>
          <w:rFonts w:ascii="Times New Roman" w:hAnsi="Times New Roman"/>
          <w:lang w:bidi="en-US"/>
        </w:rPr>
        <w:t xml:space="preserve">developments will </w:t>
      </w:r>
      <w:r w:rsidR="000001B1">
        <w:rPr>
          <w:rFonts w:ascii="Times New Roman" w:hAnsi="Times New Roman"/>
          <w:lang w:bidi="en-US"/>
        </w:rPr>
        <w:t xml:space="preserve">continue to </w:t>
      </w:r>
      <w:r w:rsidR="000001B1" w:rsidRPr="00A120AC">
        <w:rPr>
          <w:rFonts w:ascii="Times New Roman" w:hAnsi="Times New Roman"/>
          <w:lang w:bidi="en-US"/>
        </w:rPr>
        <w:t>affect the existing stock of non-certified office buildings</w:t>
      </w:r>
      <w:r w:rsidR="000001B1">
        <w:rPr>
          <w:rFonts w:ascii="Times New Roman" w:hAnsi="Times New Roman"/>
          <w:lang w:bidi="en-US"/>
        </w:rPr>
        <w:t xml:space="preserve">, especially as regulatory trends are forcing </w:t>
      </w:r>
      <w:r w:rsidR="00AD727C">
        <w:rPr>
          <w:rFonts w:ascii="Times New Roman" w:hAnsi="Times New Roman"/>
          <w:lang w:bidi="en-US"/>
        </w:rPr>
        <w:t xml:space="preserve">greater energy consumption </w:t>
      </w:r>
      <w:r w:rsidR="000001B1">
        <w:rPr>
          <w:rFonts w:ascii="Times New Roman" w:hAnsi="Times New Roman"/>
          <w:lang w:bidi="en-US"/>
        </w:rPr>
        <w:t>transparency upon the commercial real estate market</w:t>
      </w:r>
      <w:r w:rsidR="00AD727C">
        <w:rPr>
          <w:rFonts w:ascii="Times New Roman" w:hAnsi="Times New Roman"/>
          <w:lang w:bidi="en-US"/>
        </w:rPr>
        <w:t xml:space="preserve"> and as tenants report on </w:t>
      </w:r>
      <w:r w:rsidR="0075317A">
        <w:rPr>
          <w:rFonts w:ascii="Times New Roman" w:hAnsi="Times New Roman"/>
          <w:lang w:bidi="en-US"/>
        </w:rPr>
        <w:t xml:space="preserve">actions to achieve </w:t>
      </w:r>
      <w:r w:rsidR="00AD727C">
        <w:rPr>
          <w:rFonts w:ascii="Times New Roman" w:hAnsi="Times New Roman"/>
          <w:lang w:bidi="en-US"/>
        </w:rPr>
        <w:t xml:space="preserve">corporate social responsibility </w:t>
      </w:r>
      <w:r w:rsidR="0075317A">
        <w:rPr>
          <w:rFonts w:ascii="Times New Roman" w:hAnsi="Times New Roman"/>
          <w:lang w:bidi="en-US"/>
        </w:rPr>
        <w:t>goals via</w:t>
      </w:r>
      <w:r w:rsidR="00AD727C">
        <w:rPr>
          <w:rFonts w:ascii="Times New Roman" w:hAnsi="Times New Roman"/>
          <w:lang w:bidi="en-US"/>
        </w:rPr>
        <w:t xml:space="preserve"> </w:t>
      </w:r>
      <w:r w:rsidR="00BA19B4">
        <w:rPr>
          <w:rFonts w:ascii="Times New Roman" w:hAnsi="Times New Roman"/>
          <w:lang w:bidi="en-US"/>
        </w:rPr>
        <w:t>portfolio sustainability reporting</w:t>
      </w:r>
      <w:r w:rsidR="0075317A">
        <w:rPr>
          <w:rFonts w:ascii="Times New Roman" w:hAnsi="Times New Roman"/>
          <w:lang w:bidi="en-US"/>
        </w:rPr>
        <w:t xml:space="preserve"> </w:t>
      </w:r>
      <w:r w:rsidR="00BA19B4">
        <w:rPr>
          <w:rFonts w:ascii="Times New Roman" w:hAnsi="Times New Roman"/>
          <w:lang w:bidi="en-US"/>
        </w:rPr>
        <w:t xml:space="preserve">tools such </w:t>
      </w:r>
      <w:r w:rsidR="00AD727C">
        <w:rPr>
          <w:rFonts w:ascii="Times New Roman" w:hAnsi="Times New Roman"/>
          <w:lang w:bidi="en-US"/>
        </w:rPr>
        <w:t xml:space="preserve">as the Global </w:t>
      </w:r>
      <w:r w:rsidR="0075317A">
        <w:rPr>
          <w:rFonts w:ascii="Times New Roman" w:hAnsi="Times New Roman"/>
          <w:lang w:bidi="en-US"/>
        </w:rPr>
        <w:t>Reporting Initiative</w:t>
      </w:r>
      <w:r w:rsidR="00BA19B4">
        <w:rPr>
          <w:rFonts w:ascii="Times New Roman" w:hAnsi="Times New Roman"/>
          <w:lang w:bidi="en-US"/>
        </w:rPr>
        <w:t xml:space="preserve"> and the Global Real Estate Sustainability Benchmark,</w:t>
      </w:r>
      <w:r w:rsidR="0075317A">
        <w:rPr>
          <w:rStyle w:val="FootnoteReference"/>
          <w:rFonts w:ascii="Times New Roman" w:hAnsi="Times New Roman"/>
          <w:lang w:bidi="en-US"/>
        </w:rPr>
        <w:footnoteReference w:id="9"/>
      </w:r>
      <w:r w:rsidR="0075317A">
        <w:rPr>
          <w:rFonts w:ascii="Times New Roman" w:hAnsi="Times New Roman"/>
          <w:lang w:bidi="en-US"/>
        </w:rPr>
        <w:t xml:space="preserve"> and the </w:t>
      </w:r>
      <w:r w:rsidR="00BA19B4">
        <w:rPr>
          <w:rFonts w:ascii="Times New Roman" w:hAnsi="Times New Roman"/>
          <w:lang w:bidi="en-US"/>
        </w:rPr>
        <w:t>plethora of building-level</w:t>
      </w:r>
      <w:r w:rsidR="0075317A">
        <w:rPr>
          <w:rFonts w:ascii="Times New Roman" w:hAnsi="Times New Roman"/>
          <w:lang w:bidi="en-US"/>
        </w:rPr>
        <w:t xml:space="preserve"> benchmarks now available for assessing </w:t>
      </w:r>
      <w:r w:rsidR="00BA19B4">
        <w:rPr>
          <w:rFonts w:ascii="Times New Roman" w:hAnsi="Times New Roman"/>
          <w:lang w:bidi="en-US"/>
        </w:rPr>
        <w:t>the sustainability of</w:t>
      </w:r>
      <w:r w:rsidR="0075317A">
        <w:rPr>
          <w:rFonts w:ascii="Times New Roman" w:hAnsi="Times New Roman"/>
          <w:lang w:bidi="en-US"/>
        </w:rPr>
        <w:t xml:space="preserve"> </w:t>
      </w:r>
      <w:r w:rsidR="00BA19B4">
        <w:rPr>
          <w:rFonts w:ascii="Times New Roman" w:hAnsi="Times New Roman"/>
          <w:lang w:bidi="en-US"/>
        </w:rPr>
        <w:t xml:space="preserve">commercial </w:t>
      </w:r>
      <w:r w:rsidR="0075317A">
        <w:rPr>
          <w:rFonts w:ascii="Times New Roman" w:hAnsi="Times New Roman"/>
          <w:lang w:bidi="en-US"/>
        </w:rPr>
        <w:t>real estate.</w:t>
      </w:r>
      <w:r w:rsidR="0075317A">
        <w:rPr>
          <w:rStyle w:val="FootnoteReference"/>
          <w:rFonts w:ascii="Times New Roman" w:hAnsi="Times New Roman"/>
          <w:lang w:bidi="en-US"/>
        </w:rPr>
        <w:footnoteReference w:id="10"/>
      </w:r>
      <w:r w:rsidR="0075317A">
        <w:rPr>
          <w:rFonts w:ascii="Times New Roman" w:hAnsi="Times New Roman"/>
          <w:lang w:bidi="en-US"/>
        </w:rPr>
        <w:t xml:space="preserve">  </w:t>
      </w:r>
    </w:p>
    <w:p w:rsidR="00AD727C" w:rsidRDefault="00AD727C" w:rsidP="000001B1">
      <w:pPr>
        <w:spacing w:line="360" w:lineRule="auto"/>
        <w:ind w:firstLine="720"/>
        <w:jc w:val="both"/>
        <w:rPr>
          <w:rFonts w:ascii="Times New Roman" w:hAnsi="Times New Roman"/>
          <w:lang w:bidi="en-US"/>
        </w:rPr>
      </w:pPr>
    </w:p>
    <w:p w:rsidR="00027BF3" w:rsidRPr="000001B1" w:rsidRDefault="000001B1" w:rsidP="000001B1">
      <w:pPr>
        <w:spacing w:line="360" w:lineRule="auto"/>
        <w:jc w:val="both"/>
        <w:rPr>
          <w:rFonts w:ascii="Times New Roman" w:hAnsi="Times New Roman"/>
          <w:lang w:bidi="en-US"/>
        </w:rPr>
      </w:pPr>
      <w:r>
        <w:rPr>
          <w:rFonts w:ascii="Times New Roman" w:hAnsi="Times New Roman"/>
          <w:b/>
        </w:rPr>
        <w:br w:type="page"/>
      </w:r>
      <w:r w:rsidR="00027BF3" w:rsidRPr="00050CDD">
        <w:rPr>
          <w:rFonts w:ascii="Times New Roman" w:hAnsi="Times New Roman"/>
          <w:b/>
        </w:rPr>
        <w:t>References</w:t>
      </w:r>
    </w:p>
    <w:p w:rsidR="00133E9A" w:rsidRPr="00133E9A" w:rsidRDefault="00133E9A" w:rsidP="00133E9A">
      <w:pPr>
        <w:spacing w:after="240"/>
        <w:jc w:val="both"/>
        <w:rPr>
          <w:rFonts w:ascii="Times New Roman" w:hAnsi="Times New Roman"/>
          <w:noProof/>
        </w:rPr>
      </w:pPr>
      <w:r w:rsidRPr="00133E9A">
        <w:rPr>
          <w:rFonts w:ascii="Times New Roman" w:hAnsi="Times New Roman"/>
        </w:rPr>
        <w:fldChar w:fldCharType="begin"/>
      </w:r>
      <w:r w:rsidRPr="00133E9A">
        <w:rPr>
          <w:rFonts w:ascii="Times New Roman" w:hAnsi="Times New Roman"/>
        </w:rPr>
        <w:instrText xml:space="preserve"> ADDIN EN.REFLIST </w:instrText>
      </w:r>
      <w:r w:rsidRPr="00133E9A">
        <w:rPr>
          <w:rFonts w:ascii="Times New Roman" w:hAnsi="Times New Roman"/>
        </w:rPr>
        <w:fldChar w:fldCharType="separate"/>
      </w:r>
      <w:bookmarkStart w:id="1" w:name="_ENREF_1"/>
      <w:r w:rsidRPr="00133E9A">
        <w:rPr>
          <w:rFonts w:ascii="Times New Roman" w:hAnsi="Times New Roman"/>
          <w:noProof/>
        </w:rPr>
        <w:t xml:space="preserve">Chau, Chi-Kwan; M.S. Tse and K.Y. Chung. 2010. "A Choice Experiment to Estimate the Effect of Green Experience on Preferences and Willingness-to-Pay for Green Building Attributes." </w:t>
      </w:r>
      <w:r w:rsidRPr="00133E9A">
        <w:rPr>
          <w:rFonts w:ascii="Times New Roman" w:hAnsi="Times New Roman"/>
          <w:i/>
          <w:noProof/>
        </w:rPr>
        <w:t>Building and Environment</w:t>
      </w:r>
      <w:r w:rsidRPr="00133E9A">
        <w:rPr>
          <w:rFonts w:ascii="Times New Roman" w:hAnsi="Times New Roman"/>
          <w:noProof/>
        </w:rPr>
        <w:t>, 45(11), 2553-61.</w:t>
      </w:r>
      <w:bookmarkEnd w:id="1"/>
    </w:p>
    <w:p w:rsidR="00133E9A" w:rsidRPr="00133E9A" w:rsidRDefault="00133E9A" w:rsidP="00133E9A">
      <w:pPr>
        <w:spacing w:after="240"/>
        <w:jc w:val="both"/>
        <w:rPr>
          <w:rFonts w:ascii="Times New Roman" w:hAnsi="Times New Roman"/>
          <w:noProof/>
        </w:rPr>
      </w:pPr>
      <w:bookmarkStart w:id="2" w:name="_ENREF_2"/>
      <w:r w:rsidRPr="00133E9A">
        <w:rPr>
          <w:rFonts w:ascii="Times New Roman" w:hAnsi="Times New Roman"/>
          <w:noProof/>
        </w:rPr>
        <w:t xml:space="preserve">Eichholtz, Piet M.A.; Nils Kok and John M. Quigley. 2010. "Doing Well by Doing Good: Green Office Buildings." </w:t>
      </w:r>
      <w:r w:rsidRPr="00133E9A">
        <w:rPr>
          <w:rFonts w:ascii="Times New Roman" w:hAnsi="Times New Roman"/>
          <w:i/>
          <w:noProof/>
        </w:rPr>
        <w:t>American Economic Review</w:t>
      </w:r>
      <w:r w:rsidRPr="00133E9A">
        <w:rPr>
          <w:rFonts w:ascii="Times New Roman" w:hAnsi="Times New Roman"/>
          <w:noProof/>
        </w:rPr>
        <w:t>, 100(5), 2494–511.</w:t>
      </w:r>
      <w:bookmarkEnd w:id="2"/>
    </w:p>
    <w:p w:rsidR="00133E9A" w:rsidRPr="00133E9A" w:rsidRDefault="00133E9A" w:rsidP="00133E9A">
      <w:pPr>
        <w:spacing w:after="240"/>
        <w:jc w:val="both"/>
        <w:rPr>
          <w:rFonts w:ascii="Times New Roman" w:hAnsi="Times New Roman"/>
          <w:noProof/>
        </w:rPr>
      </w:pPr>
      <w:bookmarkStart w:id="3" w:name="_ENREF_3"/>
      <w:r w:rsidRPr="00133E9A">
        <w:rPr>
          <w:rFonts w:ascii="Times New Roman" w:hAnsi="Times New Roman"/>
          <w:noProof/>
        </w:rPr>
        <w:t xml:space="preserve">____. 2011. "The Economics of Green Building," </w:t>
      </w:r>
      <w:r w:rsidRPr="00133E9A">
        <w:rPr>
          <w:rFonts w:ascii="Times New Roman" w:hAnsi="Times New Roman"/>
          <w:i/>
          <w:noProof/>
        </w:rPr>
        <w:t xml:space="preserve">Working Paper. </w:t>
      </w:r>
      <w:r w:rsidRPr="00133E9A">
        <w:rPr>
          <w:rFonts w:ascii="Times New Roman" w:hAnsi="Times New Roman"/>
          <w:noProof/>
        </w:rPr>
        <w:t xml:space="preserve">Berkeley: Berkeley Program on Housing and Urban Policy, </w:t>
      </w:r>
      <w:bookmarkEnd w:id="3"/>
    </w:p>
    <w:p w:rsidR="00133E9A" w:rsidRPr="00133E9A" w:rsidRDefault="00133E9A" w:rsidP="00133E9A">
      <w:pPr>
        <w:spacing w:after="240"/>
        <w:jc w:val="both"/>
        <w:rPr>
          <w:rFonts w:ascii="Times New Roman" w:hAnsi="Times New Roman"/>
          <w:noProof/>
        </w:rPr>
      </w:pPr>
      <w:bookmarkStart w:id="4" w:name="_ENREF_4"/>
      <w:r w:rsidRPr="00133E9A">
        <w:rPr>
          <w:rFonts w:ascii="Times New Roman" w:hAnsi="Times New Roman"/>
          <w:noProof/>
        </w:rPr>
        <w:t xml:space="preserve">____. in press. "The Economics of Green Building." </w:t>
      </w:r>
      <w:r w:rsidRPr="00133E9A">
        <w:rPr>
          <w:rFonts w:ascii="Times New Roman" w:hAnsi="Times New Roman"/>
          <w:i/>
          <w:noProof/>
        </w:rPr>
        <w:t>Review of Economics and Statistics</w:t>
      </w:r>
      <w:r w:rsidRPr="00133E9A">
        <w:rPr>
          <w:rFonts w:ascii="Times New Roman" w:hAnsi="Times New Roman"/>
          <w:noProof/>
        </w:rPr>
        <w:t>.</w:t>
      </w:r>
      <w:bookmarkEnd w:id="4"/>
    </w:p>
    <w:p w:rsidR="00133E9A" w:rsidRPr="00133E9A" w:rsidRDefault="00133E9A" w:rsidP="00133E9A">
      <w:pPr>
        <w:spacing w:after="240"/>
        <w:jc w:val="both"/>
        <w:rPr>
          <w:rFonts w:ascii="Times New Roman" w:hAnsi="Times New Roman"/>
          <w:noProof/>
        </w:rPr>
      </w:pPr>
      <w:bookmarkStart w:id="5" w:name="_ENREF_5"/>
      <w:r w:rsidRPr="00133E9A">
        <w:rPr>
          <w:rFonts w:ascii="Times New Roman" w:hAnsi="Times New Roman"/>
          <w:noProof/>
        </w:rPr>
        <w:t xml:space="preserve">Fuerst, F. and P. McAllister. 2009. "An Investigation of the Effect of Eco-Labeling on Office Occupancy Rates." </w:t>
      </w:r>
      <w:r w:rsidRPr="00133E9A">
        <w:rPr>
          <w:rFonts w:ascii="Times New Roman" w:hAnsi="Times New Roman"/>
          <w:i/>
          <w:noProof/>
        </w:rPr>
        <w:t>Journal of Sustainable Real Estate</w:t>
      </w:r>
      <w:r w:rsidRPr="00133E9A">
        <w:rPr>
          <w:rFonts w:ascii="Times New Roman" w:hAnsi="Times New Roman"/>
          <w:noProof/>
        </w:rPr>
        <w:t>, 1(1), 49-64.</w:t>
      </w:r>
      <w:bookmarkEnd w:id="5"/>
    </w:p>
    <w:p w:rsidR="00133E9A" w:rsidRPr="00133E9A" w:rsidRDefault="00133E9A" w:rsidP="00133E9A">
      <w:pPr>
        <w:spacing w:after="240"/>
        <w:jc w:val="both"/>
        <w:rPr>
          <w:rFonts w:ascii="Times New Roman" w:hAnsi="Times New Roman"/>
          <w:noProof/>
        </w:rPr>
      </w:pPr>
      <w:bookmarkStart w:id="6" w:name="_ENREF_6"/>
      <w:r w:rsidRPr="00133E9A">
        <w:rPr>
          <w:rFonts w:ascii="Times New Roman" w:hAnsi="Times New Roman"/>
          <w:noProof/>
        </w:rPr>
        <w:t xml:space="preserve">Fuerst, Franz and Patrick McAllister. 2011. "Green Noise or Green Value? Measuring the Effects of Environmental Certification on Office Values." </w:t>
      </w:r>
      <w:r w:rsidRPr="00133E9A">
        <w:rPr>
          <w:rFonts w:ascii="Times New Roman" w:hAnsi="Times New Roman"/>
          <w:i/>
          <w:noProof/>
        </w:rPr>
        <w:t>Real Estate Economics</w:t>
      </w:r>
      <w:r w:rsidRPr="00133E9A">
        <w:rPr>
          <w:rFonts w:ascii="Times New Roman" w:hAnsi="Times New Roman"/>
          <w:noProof/>
        </w:rPr>
        <w:t>, 39(1), 45-69.</w:t>
      </w:r>
      <w:bookmarkEnd w:id="6"/>
    </w:p>
    <w:p w:rsidR="00133E9A" w:rsidRPr="00133E9A" w:rsidRDefault="00133E9A" w:rsidP="00133E9A">
      <w:pPr>
        <w:spacing w:after="240"/>
        <w:jc w:val="both"/>
        <w:rPr>
          <w:rFonts w:ascii="Times New Roman" w:hAnsi="Times New Roman"/>
          <w:noProof/>
        </w:rPr>
      </w:pPr>
      <w:bookmarkStart w:id="7" w:name="_ENREF_7"/>
      <w:r w:rsidRPr="00133E9A">
        <w:rPr>
          <w:rFonts w:ascii="Times New Roman" w:hAnsi="Times New Roman"/>
          <w:noProof/>
        </w:rPr>
        <w:t xml:space="preserve">Kok, Nils and Maarten G. J. Jennen. 2012. "The Impact of Energy Labels and Accessibility on Office Rents." </w:t>
      </w:r>
      <w:r w:rsidRPr="00133E9A">
        <w:rPr>
          <w:rFonts w:ascii="Times New Roman" w:hAnsi="Times New Roman"/>
          <w:i/>
          <w:noProof/>
        </w:rPr>
        <w:t>Energy Policy</w:t>
      </w:r>
      <w:r w:rsidRPr="00133E9A">
        <w:rPr>
          <w:rFonts w:ascii="Times New Roman" w:hAnsi="Times New Roman"/>
          <w:noProof/>
        </w:rPr>
        <w:t>, 46(July), 489-97.</w:t>
      </w:r>
      <w:bookmarkEnd w:id="7"/>
    </w:p>
    <w:p w:rsidR="00133E9A" w:rsidRPr="00133E9A" w:rsidRDefault="00133E9A" w:rsidP="00133E9A">
      <w:pPr>
        <w:spacing w:after="240"/>
        <w:jc w:val="both"/>
        <w:rPr>
          <w:rFonts w:ascii="Times New Roman" w:hAnsi="Times New Roman"/>
          <w:noProof/>
        </w:rPr>
      </w:pPr>
      <w:bookmarkStart w:id="8" w:name="_ENREF_8"/>
      <w:r w:rsidRPr="00133E9A">
        <w:rPr>
          <w:rFonts w:ascii="Times New Roman" w:hAnsi="Times New Roman"/>
          <w:noProof/>
        </w:rPr>
        <w:t xml:space="preserve">Margolis, J.D. and J.P. Walsh. 2003. "Misery Loves Company: Rethinking Social Initiatives by Business." </w:t>
      </w:r>
      <w:r w:rsidRPr="00133E9A">
        <w:rPr>
          <w:rFonts w:ascii="Times New Roman" w:hAnsi="Times New Roman"/>
          <w:i/>
          <w:noProof/>
        </w:rPr>
        <w:t>Administrative Science Quarterly</w:t>
      </w:r>
      <w:r w:rsidRPr="00133E9A">
        <w:rPr>
          <w:rFonts w:ascii="Times New Roman" w:hAnsi="Times New Roman"/>
          <w:noProof/>
        </w:rPr>
        <w:t>, 48(2), 268-305.</w:t>
      </w:r>
      <w:bookmarkEnd w:id="8"/>
    </w:p>
    <w:p w:rsidR="00133E9A" w:rsidRPr="00133E9A" w:rsidRDefault="00133E9A" w:rsidP="00133E9A">
      <w:pPr>
        <w:spacing w:after="240"/>
        <w:jc w:val="both"/>
        <w:rPr>
          <w:rFonts w:ascii="Times New Roman" w:hAnsi="Times New Roman"/>
          <w:noProof/>
        </w:rPr>
      </w:pPr>
      <w:bookmarkStart w:id="9" w:name="_ENREF_9"/>
      <w:r w:rsidRPr="00133E9A">
        <w:rPr>
          <w:rFonts w:ascii="Times New Roman" w:hAnsi="Times New Roman"/>
          <w:noProof/>
        </w:rPr>
        <w:t xml:space="preserve">Miller, Norm; David Pogue; Quiana D. Gough and Susan M. Davis. 2009. "Green Buildings and Productivity." </w:t>
      </w:r>
      <w:r w:rsidRPr="00133E9A">
        <w:rPr>
          <w:rFonts w:ascii="Times New Roman" w:hAnsi="Times New Roman"/>
          <w:i/>
          <w:noProof/>
        </w:rPr>
        <w:t>Journal of Sustainable Real Estate</w:t>
      </w:r>
      <w:r w:rsidRPr="00133E9A">
        <w:rPr>
          <w:rFonts w:ascii="Times New Roman" w:hAnsi="Times New Roman"/>
          <w:noProof/>
        </w:rPr>
        <w:t>, 1(1), 65-89.</w:t>
      </w:r>
      <w:bookmarkEnd w:id="9"/>
    </w:p>
    <w:p w:rsidR="00133E9A" w:rsidRDefault="00133E9A" w:rsidP="00133E9A">
      <w:pPr>
        <w:spacing w:after="240"/>
        <w:jc w:val="both"/>
        <w:rPr>
          <w:rFonts w:ascii="Times New Roman" w:hAnsi="Times New Roman"/>
          <w:noProof/>
        </w:rPr>
      </w:pPr>
      <w:bookmarkStart w:id="10" w:name="_ENREF_10"/>
      <w:r w:rsidRPr="00133E9A">
        <w:rPr>
          <w:rFonts w:ascii="Times New Roman" w:hAnsi="Times New Roman"/>
          <w:noProof/>
        </w:rPr>
        <w:t xml:space="preserve">Miller, Norm; Jay Spivey and Andy Florance. 2008. "Does Green Pay Off?" </w:t>
      </w:r>
      <w:r w:rsidRPr="00133E9A">
        <w:rPr>
          <w:rFonts w:ascii="Times New Roman" w:hAnsi="Times New Roman"/>
          <w:i/>
          <w:noProof/>
        </w:rPr>
        <w:t>Journal of Real Estate Portfolio Management</w:t>
      </w:r>
      <w:r w:rsidRPr="00133E9A">
        <w:rPr>
          <w:rFonts w:ascii="Times New Roman" w:hAnsi="Times New Roman"/>
          <w:noProof/>
        </w:rPr>
        <w:t>, 14(4), 385-400.</w:t>
      </w:r>
      <w:bookmarkEnd w:id="10"/>
    </w:p>
    <w:p w:rsidR="004D5311" w:rsidRDefault="004D5311" w:rsidP="00697D4B">
      <w:pPr>
        <w:spacing w:after="240"/>
        <w:rPr>
          <w:rFonts w:ascii="Times New Roman" w:hAnsi="Times New Roman"/>
          <w:noProof/>
        </w:rPr>
      </w:pPr>
      <w:r>
        <w:rPr>
          <w:rFonts w:ascii="Times New Roman" w:hAnsi="Times New Roman"/>
          <w:noProof/>
        </w:rPr>
        <w:t xml:space="preserve">Morris, Peter; "What does green really cost?" </w:t>
      </w:r>
      <w:r w:rsidR="00697D4B">
        <w:rPr>
          <w:rFonts w:ascii="Times New Roman" w:hAnsi="Times New Roman"/>
          <w:noProof/>
        </w:rPr>
        <w:t xml:space="preserve">2007 at www.davislangdon.com  research </w:t>
      </w:r>
      <w:r w:rsidR="00697D4B" w:rsidRPr="00697D4B">
        <w:rPr>
          <w:rFonts w:ascii="Times New Roman" w:hAnsi="Times New Roman"/>
          <w:noProof/>
        </w:rPr>
        <w:t>http://www.davislangdon.com/upload/images/publications/USA/Morris%20Article.pdf</w:t>
      </w:r>
    </w:p>
    <w:p w:rsidR="00133E9A" w:rsidRPr="00133E9A" w:rsidRDefault="00133E9A" w:rsidP="00133E9A">
      <w:pPr>
        <w:spacing w:after="240"/>
        <w:jc w:val="both"/>
        <w:rPr>
          <w:rFonts w:ascii="Times New Roman" w:hAnsi="Times New Roman"/>
          <w:noProof/>
        </w:rPr>
      </w:pPr>
      <w:bookmarkStart w:id="11" w:name="_ENREF_11"/>
      <w:r w:rsidRPr="00133E9A">
        <w:rPr>
          <w:rFonts w:ascii="Times New Roman" w:hAnsi="Times New Roman"/>
          <w:noProof/>
        </w:rPr>
        <w:t xml:space="preserve">Nelson, Andrew and A. J. Rakau. 2010. "Green Buildings: A Niche Becomes Mainstream," Deutsche Bank Research, </w:t>
      </w:r>
      <w:bookmarkEnd w:id="11"/>
    </w:p>
    <w:p w:rsidR="00133E9A" w:rsidRPr="00133E9A" w:rsidRDefault="00133E9A" w:rsidP="00133E9A">
      <w:pPr>
        <w:spacing w:after="240"/>
        <w:jc w:val="both"/>
        <w:rPr>
          <w:rFonts w:ascii="Times New Roman" w:hAnsi="Times New Roman"/>
          <w:noProof/>
        </w:rPr>
      </w:pPr>
      <w:bookmarkStart w:id="12" w:name="_ENREF_12"/>
      <w:r w:rsidRPr="00133E9A">
        <w:rPr>
          <w:rFonts w:ascii="Times New Roman" w:hAnsi="Times New Roman"/>
          <w:noProof/>
        </w:rPr>
        <w:t xml:space="preserve">Newsham, Guy R.; Sandra Mancici and Benjamin Birt. 2009. "Do Leed-Certified Buildings Save Energy? Yes, But...,." </w:t>
      </w:r>
      <w:r w:rsidRPr="00133E9A">
        <w:rPr>
          <w:rFonts w:ascii="Times New Roman" w:hAnsi="Times New Roman"/>
          <w:i/>
          <w:noProof/>
        </w:rPr>
        <w:t>Energy and Buildings</w:t>
      </w:r>
      <w:r w:rsidRPr="00133E9A">
        <w:rPr>
          <w:rFonts w:ascii="Times New Roman" w:hAnsi="Times New Roman"/>
          <w:noProof/>
        </w:rPr>
        <w:t>, 41, 897-905.</w:t>
      </w:r>
      <w:bookmarkEnd w:id="12"/>
    </w:p>
    <w:p w:rsidR="00133E9A" w:rsidRPr="00133E9A" w:rsidRDefault="00133E9A" w:rsidP="00133E9A">
      <w:pPr>
        <w:spacing w:after="240"/>
        <w:jc w:val="both"/>
        <w:rPr>
          <w:rFonts w:ascii="Times New Roman" w:hAnsi="Times New Roman"/>
          <w:noProof/>
        </w:rPr>
      </w:pPr>
      <w:bookmarkStart w:id="13" w:name="_ENREF_13"/>
      <w:r w:rsidRPr="00133E9A">
        <w:rPr>
          <w:rFonts w:ascii="Times New Roman" w:hAnsi="Times New Roman"/>
          <w:noProof/>
        </w:rPr>
        <w:t xml:space="preserve">Pivo, G. and J.D. Fisher. 2011. "The Walkability Premium in Commercial Real Estate Investments." </w:t>
      </w:r>
      <w:r w:rsidRPr="00133E9A">
        <w:rPr>
          <w:rFonts w:ascii="Times New Roman" w:hAnsi="Times New Roman"/>
          <w:i/>
          <w:noProof/>
        </w:rPr>
        <w:t>Real Estate Economics</w:t>
      </w:r>
      <w:r w:rsidRPr="00133E9A">
        <w:rPr>
          <w:rFonts w:ascii="Times New Roman" w:hAnsi="Times New Roman"/>
          <w:noProof/>
        </w:rPr>
        <w:t>, 39(2), 185-219.</w:t>
      </w:r>
      <w:bookmarkEnd w:id="13"/>
    </w:p>
    <w:p w:rsidR="00133E9A" w:rsidRPr="00133E9A" w:rsidRDefault="00133E9A" w:rsidP="00133E9A">
      <w:pPr>
        <w:spacing w:after="240"/>
        <w:jc w:val="both"/>
        <w:rPr>
          <w:rFonts w:ascii="Times New Roman" w:hAnsi="Times New Roman"/>
          <w:noProof/>
        </w:rPr>
      </w:pPr>
      <w:bookmarkStart w:id="14" w:name="_ENREF_14"/>
      <w:r w:rsidRPr="00133E9A">
        <w:rPr>
          <w:rFonts w:ascii="Times New Roman" w:hAnsi="Times New Roman"/>
          <w:noProof/>
        </w:rPr>
        <w:t xml:space="preserve">Pivo, Gary and Jeff Fisher. 2010. "Income, Value, and Returns in Socially Responsible Office Properties." </w:t>
      </w:r>
      <w:r w:rsidRPr="00133E9A">
        <w:rPr>
          <w:rFonts w:ascii="Times New Roman" w:hAnsi="Times New Roman"/>
          <w:i/>
          <w:noProof/>
        </w:rPr>
        <w:t>Journal of Real Estate Research</w:t>
      </w:r>
      <w:r w:rsidRPr="00133E9A">
        <w:rPr>
          <w:rFonts w:ascii="Times New Roman" w:hAnsi="Times New Roman"/>
          <w:noProof/>
        </w:rPr>
        <w:t>, 32(3), 243-70.</w:t>
      </w:r>
      <w:bookmarkEnd w:id="14"/>
    </w:p>
    <w:p w:rsidR="00133E9A" w:rsidRPr="00133E9A" w:rsidRDefault="00133E9A" w:rsidP="00133E9A">
      <w:pPr>
        <w:jc w:val="both"/>
        <w:rPr>
          <w:rFonts w:ascii="Times New Roman" w:hAnsi="Times New Roman"/>
          <w:noProof/>
        </w:rPr>
      </w:pPr>
      <w:bookmarkStart w:id="15" w:name="_ENREF_15"/>
      <w:r w:rsidRPr="00133E9A">
        <w:rPr>
          <w:rFonts w:ascii="Times New Roman" w:hAnsi="Times New Roman"/>
          <w:noProof/>
        </w:rPr>
        <w:t xml:space="preserve">Turban, D.B. and D.W. Greening. 1997. "Corporate Social Performance and Organizational Attractiveness to Prospective Employees." </w:t>
      </w:r>
      <w:r w:rsidRPr="00133E9A">
        <w:rPr>
          <w:rFonts w:ascii="Times New Roman" w:hAnsi="Times New Roman"/>
          <w:i/>
          <w:noProof/>
        </w:rPr>
        <w:t>Academy of Management Journal</w:t>
      </w:r>
      <w:r w:rsidRPr="00133E9A">
        <w:rPr>
          <w:rFonts w:ascii="Times New Roman" w:hAnsi="Times New Roman"/>
          <w:noProof/>
        </w:rPr>
        <w:t>, 40(3), 658-72.</w:t>
      </w:r>
      <w:bookmarkEnd w:id="15"/>
    </w:p>
    <w:p w:rsidR="00133E9A" w:rsidRPr="00B83F87" w:rsidRDefault="00133E9A" w:rsidP="00133E9A">
      <w:pPr>
        <w:jc w:val="both"/>
        <w:rPr>
          <w:rFonts w:ascii="Times New Roman" w:hAnsi="Times New Roman"/>
          <w:b/>
        </w:rPr>
      </w:pPr>
      <w:r w:rsidRPr="00133E9A">
        <w:rPr>
          <w:rFonts w:ascii="Times New Roman" w:hAnsi="Times New Roman"/>
        </w:rPr>
        <w:fldChar w:fldCharType="end"/>
      </w:r>
    </w:p>
    <w:p w:rsidR="00BA19B4" w:rsidRDefault="00BA19B4">
      <w:pPr>
        <w:rPr>
          <w:rFonts w:ascii="Times New Roman" w:hAnsi="Times New Roman"/>
          <w:b/>
        </w:rPr>
      </w:pPr>
      <w:r>
        <w:rPr>
          <w:rFonts w:ascii="Times New Roman" w:hAnsi="Times New Roman"/>
          <w:b/>
        </w:rPr>
        <w:br w:type="page"/>
      </w:r>
    </w:p>
    <w:p w:rsidR="002F5444" w:rsidRPr="00133E9A" w:rsidRDefault="00AB3AC8" w:rsidP="002C7368">
      <w:pPr>
        <w:jc w:val="center"/>
        <w:rPr>
          <w:rFonts w:ascii="Times New Roman" w:hAnsi="Times New Roman"/>
        </w:rPr>
      </w:pPr>
      <w:r>
        <w:rPr>
          <w:rFonts w:ascii="Times New Roman" w:hAnsi="Times New Roman"/>
          <w:b/>
        </w:rPr>
        <w:t xml:space="preserve">Exhibit </w:t>
      </w:r>
      <w:r w:rsidR="002F5444">
        <w:rPr>
          <w:rFonts w:ascii="Times New Roman" w:hAnsi="Times New Roman"/>
          <w:b/>
        </w:rPr>
        <w:t>I</w:t>
      </w:r>
    </w:p>
    <w:p w:rsidR="002F5444" w:rsidRDefault="002F5444" w:rsidP="002A6C68">
      <w:pPr>
        <w:jc w:val="center"/>
        <w:rPr>
          <w:rFonts w:ascii="Times New Roman" w:hAnsi="Times New Roman"/>
          <w:b/>
        </w:rPr>
      </w:pPr>
      <w:r>
        <w:rPr>
          <w:rFonts w:ascii="Times New Roman" w:hAnsi="Times New Roman"/>
          <w:b/>
        </w:rPr>
        <w:t>Growth in Green Buildings</w:t>
      </w:r>
    </w:p>
    <w:p w:rsidR="002F5444" w:rsidRDefault="002F5444" w:rsidP="002F5444">
      <w:pPr>
        <w:rPr>
          <w:rFonts w:ascii="Times New Roman" w:hAnsi="Times New Roman"/>
          <w:b/>
        </w:rPr>
      </w:pPr>
    </w:p>
    <w:p w:rsidR="002F5444" w:rsidRDefault="002F5444" w:rsidP="002F5444">
      <w:pPr>
        <w:rPr>
          <w:rFonts w:ascii="Times New Roman" w:hAnsi="Times New Roman"/>
          <w:b/>
        </w:rPr>
      </w:pPr>
      <w:r>
        <w:rPr>
          <w:rFonts w:ascii="Times New Roman" w:hAnsi="Times New Roman"/>
          <w:b/>
        </w:rPr>
        <w:t>A. LEED-Certified Space as a Fraction of Total Office Space (Kok et al., 2011)</w:t>
      </w:r>
    </w:p>
    <w:p w:rsidR="002F5444" w:rsidRDefault="007238DF" w:rsidP="002A6C68">
      <w:pPr>
        <w:jc w:val="center"/>
        <w:rPr>
          <w:rFonts w:ascii="Times New Roman" w:hAnsi="Times New Roman"/>
          <w:b/>
        </w:rPr>
      </w:pPr>
      <w:r>
        <w:rPr>
          <w:rFonts w:ascii="Times New Roman" w:hAnsi="Times New Roman"/>
          <w:b/>
          <w:noProof/>
        </w:rPr>
        <w:drawing>
          <wp:inline distT="0" distB="0" distL="0" distR="0" wp14:anchorId="54DD7F05" wp14:editId="505EBD54">
            <wp:extent cx="5486400" cy="3268345"/>
            <wp:effectExtent l="0" t="0" r="0" b="8255"/>
            <wp:docPr id="1" name="Content Placeholder 4" descr="Description: Graph 1B.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Description: Graph 1B.jpg"/>
                    <pic:cNvPicPr>
                      <a:picLocks noGrp="1" noChangeAspect="1" noChangeArrowheads="1"/>
                    </pic:cNvPicPr>
                  </pic:nvPicPr>
                  <pic:blipFill>
                    <a:blip r:embed="rId10">
                      <a:extLst>
                        <a:ext uri="{28A0092B-C50C-407E-A947-70E740481C1C}">
                          <a14:useLocalDpi xmlns:a14="http://schemas.microsoft.com/office/drawing/2010/main" val="0"/>
                        </a:ext>
                      </a:extLst>
                    </a:blip>
                    <a:srcRect l="-10609" r="-10609"/>
                    <a:stretch>
                      <a:fillRect/>
                    </a:stretch>
                  </pic:blipFill>
                  <pic:spPr bwMode="auto">
                    <a:xfrm>
                      <a:off x="0" y="0"/>
                      <a:ext cx="5486400" cy="3268345"/>
                    </a:xfrm>
                    <a:prstGeom prst="rect">
                      <a:avLst/>
                    </a:prstGeom>
                    <a:noFill/>
                    <a:ln>
                      <a:noFill/>
                    </a:ln>
                  </pic:spPr>
                </pic:pic>
              </a:graphicData>
            </a:graphic>
          </wp:inline>
        </w:drawing>
      </w:r>
    </w:p>
    <w:p w:rsidR="002F5444" w:rsidRDefault="002F5444" w:rsidP="002A6C68">
      <w:pPr>
        <w:jc w:val="center"/>
        <w:rPr>
          <w:rFonts w:ascii="Times New Roman" w:hAnsi="Times New Roman"/>
          <w:b/>
        </w:rPr>
      </w:pPr>
    </w:p>
    <w:p w:rsidR="002F5444" w:rsidRDefault="002F5444" w:rsidP="002F5444">
      <w:pPr>
        <w:rPr>
          <w:rFonts w:ascii="Times New Roman" w:hAnsi="Times New Roman"/>
          <w:b/>
        </w:rPr>
      </w:pPr>
      <w:r>
        <w:rPr>
          <w:rFonts w:ascii="Times New Roman" w:hAnsi="Times New Roman"/>
          <w:b/>
        </w:rPr>
        <w:t>B. Composition of LEED-Certified Commercial Space</w:t>
      </w:r>
    </w:p>
    <w:p w:rsidR="002F5444" w:rsidRDefault="002F5444" w:rsidP="002F5444">
      <w:pPr>
        <w:rPr>
          <w:rFonts w:ascii="Times New Roman" w:hAnsi="Times New Roman"/>
          <w:b/>
        </w:rPr>
      </w:pPr>
    </w:p>
    <w:p w:rsidR="002F5444" w:rsidRDefault="007238DF" w:rsidP="00133E9A">
      <w:pPr>
        <w:jc w:val="center"/>
        <w:rPr>
          <w:rFonts w:ascii="Times New Roman" w:hAnsi="Times New Roman"/>
          <w:b/>
        </w:rPr>
      </w:pPr>
      <w:r>
        <w:rPr>
          <w:rFonts w:ascii="Times New Roman" w:hAnsi="Times New Roman"/>
          <w:b/>
          <w:noProof/>
        </w:rPr>
        <w:drawing>
          <wp:inline distT="0" distB="0" distL="0" distR="0" wp14:anchorId="5D92298A" wp14:editId="145E3A0D">
            <wp:extent cx="5483225" cy="3021965"/>
            <wp:effectExtent l="0" t="0" r="3175" b="63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444" w:rsidRDefault="002F5444">
      <w:pPr>
        <w:rPr>
          <w:rFonts w:ascii="Times New Roman" w:hAnsi="Times New Roman"/>
          <w:b/>
        </w:rPr>
      </w:pPr>
      <w:r>
        <w:rPr>
          <w:rFonts w:ascii="Times New Roman" w:hAnsi="Times New Roman"/>
          <w:b/>
        </w:rPr>
        <w:br w:type="page"/>
      </w:r>
    </w:p>
    <w:p w:rsidR="002A6C68" w:rsidRPr="001823D0" w:rsidRDefault="00AB3AC8" w:rsidP="002A6C68">
      <w:pPr>
        <w:jc w:val="center"/>
        <w:rPr>
          <w:rFonts w:ascii="Times New Roman" w:hAnsi="Times New Roman"/>
          <w:b/>
        </w:rPr>
      </w:pPr>
      <w:r>
        <w:rPr>
          <w:rFonts w:ascii="Times New Roman" w:hAnsi="Times New Roman"/>
          <w:b/>
        </w:rPr>
        <w:t>Exhibit 2</w:t>
      </w:r>
    </w:p>
    <w:p w:rsidR="002A6C68" w:rsidRDefault="002A6C68" w:rsidP="002A6C68">
      <w:pPr>
        <w:jc w:val="center"/>
        <w:rPr>
          <w:rFonts w:ascii="Times New Roman" w:hAnsi="Times New Roman"/>
          <w:b/>
        </w:rPr>
      </w:pPr>
      <w:r w:rsidRPr="001823D0">
        <w:rPr>
          <w:rFonts w:ascii="Times New Roman" w:hAnsi="Times New Roman"/>
          <w:b/>
        </w:rPr>
        <w:t>Descriptive Statistics</w:t>
      </w:r>
    </w:p>
    <w:p w:rsidR="00133E9A" w:rsidRPr="001823D0" w:rsidRDefault="00133E9A" w:rsidP="002A6C68">
      <w:pPr>
        <w:jc w:val="center"/>
        <w:rPr>
          <w:rFonts w:ascii="Times New Roman" w:hAnsi="Times New Roman"/>
          <w:b/>
        </w:rPr>
      </w:pPr>
      <w:r>
        <w:rPr>
          <w:rFonts w:ascii="Times New Roman" w:hAnsi="Times New Roman"/>
          <w:b/>
        </w:rPr>
        <w:t>(374 LEED Certified Buildings and 582 Conventional Buildings)</w:t>
      </w:r>
    </w:p>
    <w:p w:rsidR="002A6C68" w:rsidRPr="001823D0" w:rsidRDefault="002A6C68" w:rsidP="002A6C68">
      <w:pPr>
        <w:rPr>
          <w:rFonts w:ascii="Times New Roman" w:hAnsi="Times New Roman"/>
          <w:b/>
        </w:rPr>
      </w:pPr>
    </w:p>
    <w:tbl>
      <w:tblPr>
        <w:tblW w:w="4525" w:type="dxa"/>
        <w:jc w:val="center"/>
        <w:tblLook w:val="04A0" w:firstRow="1" w:lastRow="0" w:firstColumn="1" w:lastColumn="0" w:noHBand="0" w:noVBand="1"/>
      </w:tblPr>
      <w:tblGrid>
        <w:gridCol w:w="1905"/>
        <w:gridCol w:w="1310"/>
        <w:gridCol w:w="1310"/>
      </w:tblGrid>
      <w:tr w:rsidR="002A6C68" w:rsidRPr="00F261C5" w:rsidTr="00F261C5">
        <w:trPr>
          <w:jc w:val="center"/>
        </w:trPr>
        <w:tc>
          <w:tcPr>
            <w:tcW w:w="1905" w:type="dxa"/>
            <w:tcBorders>
              <w:top w:val="single" w:sz="4" w:space="0" w:color="auto"/>
              <w:bottom w:val="single" w:sz="4" w:space="0" w:color="auto"/>
            </w:tcBorders>
            <w:shd w:val="clear" w:color="auto" w:fill="auto"/>
          </w:tcPr>
          <w:p w:rsidR="002A6C68" w:rsidRPr="00F261C5" w:rsidRDefault="002A6C68" w:rsidP="002A6C68">
            <w:pPr>
              <w:rPr>
                <w:rFonts w:ascii="Times New Roman" w:hAnsi="Times New Roman"/>
                <w:sz w:val="20"/>
                <w:szCs w:val="20"/>
              </w:rPr>
            </w:pPr>
          </w:p>
        </w:tc>
        <w:tc>
          <w:tcPr>
            <w:tcW w:w="1310" w:type="dxa"/>
            <w:tcBorders>
              <w:top w:val="single" w:sz="4" w:space="0" w:color="auto"/>
              <w:bottom w:val="single" w:sz="4" w:space="0" w:color="auto"/>
            </w:tcBorders>
            <w:shd w:val="clear" w:color="auto" w:fill="auto"/>
          </w:tcPr>
          <w:p w:rsidR="002A6C68" w:rsidRPr="00F261C5" w:rsidRDefault="002A6C68" w:rsidP="00F261C5">
            <w:pPr>
              <w:jc w:val="center"/>
              <w:rPr>
                <w:rFonts w:ascii="Times New Roman" w:hAnsi="Times New Roman"/>
                <w:sz w:val="20"/>
                <w:szCs w:val="20"/>
              </w:rPr>
            </w:pPr>
            <w:r w:rsidRPr="00F261C5">
              <w:rPr>
                <w:rFonts w:ascii="Times New Roman" w:hAnsi="Times New Roman"/>
                <w:sz w:val="20"/>
                <w:szCs w:val="20"/>
              </w:rPr>
              <w:t>LEED Certified</w:t>
            </w:r>
          </w:p>
        </w:tc>
        <w:tc>
          <w:tcPr>
            <w:tcW w:w="1310" w:type="dxa"/>
            <w:tcBorders>
              <w:top w:val="single" w:sz="4" w:space="0" w:color="auto"/>
              <w:bottom w:val="single" w:sz="4" w:space="0" w:color="auto"/>
            </w:tcBorders>
            <w:shd w:val="clear" w:color="auto" w:fill="auto"/>
          </w:tcPr>
          <w:p w:rsidR="002A6C68" w:rsidRPr="00F261C5" w:rsidRDefault="002A6C68" w:rsidP="00F261C5">
            <w:pPr>
              <w:jc w:val="center"/>
              <w:rPr>
                <w:rFonts w:ascii="Times New Roman" w:hAnsi="Times New Roman"/>
                <w:sz w:val="20"/>
                <w:szCs w:val="20"/>
              </w:rPr>
            </w:pPr>
            <w:r w:rsidRPr="00F261C5">
              <w:rPr>
                <w:rFonts w:ascii="Times New Roman" w:hAnsi="Times New Roman"/>
                <w:sz w:val="20"/>
                <w:szCs w:val="20"/>
              </w:rPr>
              <w:t>Control Sample</w:t>
            </w: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Rent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28.15</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29.23</w:t>
            </w:r>
          </w:p>
        </w:tc>
      </w:tr>
      <w:tr w:rsidR="002A6C68" w:rsidRPr="00F261C5" w:rsidTr="00F261C5">
        <w:trPr>
          <w:jc w:val="center"/>
        </w:trPr>
        <w:tc>
          <w:tcPr>
            <w:tcW w:w="1905" w:type="dxa"/>
            <w:shd w:val="clear" w:color="auto" w:fill="auto"/>
          </w:tcPr>
          <w:p w:rsidR="002A6C68" w:rsidRPr="00F261C5" w:rsidRDefault="002A6C68" w:rsidP="00F261C5">
            <w:pPr>
              <w:tabs>
                <w:tab w:val="left" w:pos="1455"/>
              </w:tabs>
              <w:ind w:left="175"/>
              <w:rPr>
                <w:rFonts w:ascii="Times New Roman" w:hAnsi="Times New Roman"/>
                <w:sz w:val="20"/>
                <w:szCs w:val="20"/>
              </w:rPr>
            </w:pPr>
            <w:r w:rsidRPr="00F261C5">
              <w:rPr>
                <w:rFonts w:ascii="Times New Roman" w:hAnsi="Times New Roman"/>
                <w:sz w:val="20"/>
                <w:szCs w:val="20"/>
              </w:rPr>
              <w:t>($ per sq.ft.)</w:t>
            </w:r>
            <w:r w:rsidR="009B6A21" w:rsidRPr="00F261C5">
              <w:rPr>
                <w:rFonts w:ascii="Times New Roman" w:hAnsi="Times New Roman"/>
                <w:sz w:val="20"/>
                <w:szCs w:val="20"/>
              </w:rPr>
              <w:tab/>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Occupancy Rate</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83.73</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87.38</w:t>
            </w:r>
          </w:p>
        </w:tc>
      </w:tr>
      <w:tr w:rsidR="002A6C68" w:rsidRPr="00F261C5" w:rsidTr="00F261C5">
        <w:trPr>
          <w:jc w:val="center"/>
        </w:trPr>
        <w:tc>
          <w:tcPr>
            <w:tcW w:w="1905" w:type="dxa"/>
            <w:shd w:val="clear" w:color="auto" w:fill="auto"/>
          </w:tcPr>
          <w:p w:rsidR="002A6C68" w:rsidRPr="00F261C5" w:rsidRDefault="002A6C68" w:rsidP="00F261C5">
            <w:pPr>
              <w:ind w:left="175"/>
              <w:rPr>
                <w:rFonts w:ascii="Times New Roman" w:hAnsi="Times New Roman"/>
                <w:sz w:val="20"/>
                <w:szCs w:val="20"/>
              </w:rPr>
            </w:pPr>
            <w:r w:rsidRPr="00F261C5">
              <w:rPr>
                <w:rFonts w:ascii="Times New Roman" w:hAnsi="Times New Roman"/>
                <w:sz w:val="20"/>
                <w:szCs w:val="20"/>
              </w:rPr>
              <w:t>(percent)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Effective Rent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23.83</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25.05</w:t>
            </w:r>
          </w:p>
        </w:tc>
      </w:tr>
      <w:tr w:rsidR="002A6C68" w:rsidRPr="00F261C5" w:rsidTr="00F261C5">
        <w:trPr>
          <w:jc w:val="center"/>
        </w:trPr>
        <w:tc>
          <w:tcPr>
            <w:tcW w:w="1905" w:type="dxa"/>
            <w:shd w:val="clear" w:color="auto" w:fill="auto"/>
          </w:tcPr>
          <w:p w:rsidR="002A6C68" w:rsidRPr="00F261C5" w:rsidRDefault="002A6C68" w:rsidP="00F261C5">
            <w:pPr>
              <w:ind w:left="175"/>
              <w:rPr>
                <w:rFonts w:ascii="Times New Roman" w:hAnsi="Times New Roman"/>
                <w:sz w:val="20"/>
                <w:szCs w:val="20"/>
              </w:rPr>
            </w:pPr>
            <w:r w:rsidRPr="00F261C5">
              <w:rPr>
                <w:rFonts w:ascii="Times New Roman" w:hAnsi="Times New Roman"/>
                <w:sz w:val="20"/>
                <w:szCs w:val="20"/>
              </w:rPr>
              <w:t>($ per sq.ft.)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Energy Star</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86.88</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37.35</w:t>
            </w:r>
          </w:p>
        </w:tc>
      </w:tr>
      <w:tr w:rsidR="002A6C68" w:rsidRPr="00F261C5" w:rsidTr="00F261C5">
        <w:trPr>
          <w:jc w:val="center"/>
        </w:trPr>
        <w:tc>
          <w:tcPr>
            <w:tcW w:w="1905" w:type="dxa"/>
            <w:shd w:val="clear" w:color="auto" w:fill="auto"/>
          </w:tcPr>
          <w:p w:rsidR="002A6C68" w:rsidRPr="00F261C5" w:rsidRDefault="002A6C68"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Building Class</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F261C5">
            <w:pPr>
              <w:ind w:left="180"/>
              <w:rPr>
                <w:rFonts w:ascii="Times New Roman" w:hAnsi="Times New Roman"/>
                <w:sz w:val="20"/>
                <w:szCs w:val="20"/>
              </w:rPr>
            </w:pPr>
            <w:r w:rsidRPr="00F261C5">
              <w:rPr>
                <w:rFonts w:ascii="Times New Roman" w:hAnsi="Times New Roman"/>
                <w:sz w:val="20"/>
                <w:szCs w:val="20"/>
              </w:rPr>
              <w:t>Class A</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83.09</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66.34</w:t>
            </w:r>
          </w:p>
        </w:tc>
      </w:tr>
      <w:tr w:rsidR="002A6C68" w:rsidRPr="00F261C5" w:rsidTr="00F261C5">
        <w:trPr>
          <w:jc w:val="center"/>
        </w:trPr>
        <w:tc>
          <w:tcPr>
            <w:tcW w:w="1905" w:type="dxa"/>
            <w:shd w:val="clear" w:color="auto" w:fill="auto"/>
          </w:tcPr>
          <w:p w:rsidR="002A6C68" w:rsidRPr="00F261C5" w:rsidRDefault="002A6C68" w:rsidP="00F261C5">
            <w:pPr>
              <w:ind w:left="180"/>
              <w:rPr>
                <w:rFonts w:ascii="Times New Roman" w:hAnsi="Times New Roman"/>
                <w:sz w:val="20"/>
                <w:szCs w:val="20"/>
              </w:rPr>
            </w:pPr>
            <w:r w:rsidRPr="00F261C5">
              <w:rPr>
                <w:rFonts w:ascii="Times New Roman" w:hAnsi="Times New Roman"/>
                <w:sz w:val="20"/>
                <w:szCs w:val="20"/>
              </w:rPr>
              <w:t>(percent)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F261C5">
            <w:pPr>
              <w:ind w:left="175"/>
              <w:rPr>
                <w:rFonts w:ascii="Times New Roman" w:hAnsi="Times New Roman"/>
                <w:sz w:val="20"/>
                <w:szCs w:val="20"/>
              </w:rPr>
            </w:pPr>
            <w:r w:rsidRPr="00F261C5">
              <w:rPr>
                <w:rFonts w:ascii="Times New Roman" w:hAnsi="Times New Roman"/>
                <w:sz w:val="20"/>
                <w:szCs w:val="20"/>
              </w:rPr>
              <w:t>Class B</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16.91</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33.66</w:t>
            </w:r>
          </w:p>
        </w:tc>
      </w:tr>
      <w:tr w:rsidR="002A6C68" w:rsidRPr="00F261C5" w:rsidTr="00F261C5">
        <w:trPr>
          <w:jc w:val="center"/>
        </w:trPr>
        <w:tc>
          <w:tcPr>
            <w:tcW w:w="1905" w:type="dxa"/>
            <w:shd w:val="clear" w:color="auto" w:fill="auto"/>
          </w:tcPr>
          <w:p w:rsidR="002A6C68" w:rsidRPr="00F261C5" w:rsidRDefault="002A6C68" w:rsidP="00F261C5">
            <w:pPr>
              <w:ind w:left="175"/>
              <w:rPr>
                <w:rFonts w:ascii="Times New Roman" w:hAnsi="Times New Roman"/>
                <w:sz w:val="20"/>
                <w:szCs w:val="20"/>
              </w:rPr>
            </w:pPr>
            <w:r w:rsidRPr="00F261C5">
              <w:rPr>
                <w:rFonts w:ascii="Times New Roman" w:hAnsi="Times New Roman"/>
                <w:sz w:val="20"/>
                <w:szCs w:val="20"/>
              </w:rPr>
              <w:t>(percent)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Building Size</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522.40</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495.10</w:t>
            </w:r>
          </w:p>
        </w:tc>
      </w:tr>
      <w:tr w:rsidR="002A6C68" w:rsidRPr="00F261C5" w:rsidTr="00F261C5">
        <w:trPr>
          <w:jc w:val="center"/>
        </w:trPr>
        <w:tc>
          <w:tcPr>
            <w:tcW w:w="1905" w:type="dxa"/>
            <w:shd w:val="clear" w:color="auto" w:fill="auto"/>
          </w:tcPr>
          <w:p w:rsidR="002A6C68" w:rsidRPr="00F261C5" w:rsidRDefault="002A6C68" w:rsidP="00F261C5">
            <w:pPr>
              <w:ind w:left="175"/>
              <w:rPr>
                <w:rFonts w:ascii="Times New Roman" w:hAnsi="Times New Roman"/>
                <w:sz w:val="20"/>
                <w:szCs w:val="20"/>
              </w:rPr>
            </w:pPr>
            <w:r w:rsidRPr="00F261C5">
              <w:rPr>
                <w:rFonts w:ascii="Times New Roman" w:hAnsi="Times New Roman"/>
                <w:sz w:val="20"/>
                <w:szCs w:val="20"/>
              </w:rPr>
              <w:t>(thousands sq.ft.)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Typical Floor Area</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27.10</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45.60</w:t>
            </w:r>
          </w:p>
        </w:tc>
      </w:tr>
      <w:tr w:rsidR="002A6C68" w:rsidRPr="00F261C5" w:rsidTr="00F261C5">
        <w:trPr>
          <w:jc w:val="center"/>
        </w:trPr>
        <w:tc>
          <w:tcPr>
            <w:tcW w:w="1905" w:type="dxa"/>
            <w:shd w:val="clear" w:color="auto" w:fill="auto"/>
          </w:tcPr>
          <w:p w:rsidR="002A6C68" w:rsidRPr="00F261C5" w:rsidRDefault="002A6C68" w:rsidP="00F261C5">
            <w:pPr>
              <w:ind w:left="180"/>
              <w:rPr>
                <w:rFonts w:ascii="Times New Roman" w:hAnsi="Times New Roman"/>
                <w:sz w:val="20"/>
                <w:szCs w:val="20"/>
              </w:rPr>
            </w:pPr>
            <w:r w:rsidRPr="00F261C5">
              <w:rPr>
                <w:rFonts w:ascii="Times New Roman" w:hAnsi="Times New Roman"/>
                <w:sz w:val="20"/>
                <w:szCs w:val="20"/>
              </w:rPr>
              <w:t>(thousands sq.ft.)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Age</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22.33</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26.93</w:t>
            </w:r>
          </w:p>
        </w:tc>
      </w:tr>
      <w:tr w:rsidR="002A6C68" w:rsidRPr="00F261C5" w:rsidTr="00F261C5">
        <w:trPr>
          <w:jc w:val="center"/>
        </w:trPr>
        <w:tc>
          <w:tcPr>
            <w:tcW w:w="1905" w:type="dxa"/>
            <w:shd w:val="clear" w:color="auto" w:fill="auto"/>
          </w:tcPr>
          <w:p w:rsidR="002A6C68" w:rsidRPr="00F261C5" w:rsidRDefault="002A6C68" w:rsidP="00F261C5">
            <w:pPr>
              <w:ind w:left="180"/>
              <w:rPr>
                <w:rFonts w:ascii="Times New Roman" w:hAnsi="Times New Roman"/>
                <w:sz w:val="20"/>
                <w:szCs w:val="20"/>
              </w:rPr>
            </w:pPr>
            <w:r w:rsidRPr="00F261C5">
              <w:rPr>
                <w:rFonts w:ascii="Times New Roman" w:hAnsi="Times New Roman"/>
                <w:sz w:val="20"/>
                <w:szCs w:val="20"/>
              </w:rPr>
              <w:t>(years)</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Renovated</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41.40</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31.90</w:t>
            </w:r>
          </w:p>
        </w:tc>
      </w:tr>
      <w:tr w:rsidR="002A6C68" w:rsidRPr="00F261C5" w:rsidTr="00F261C5">
        <w:trPr>
          <w:jc w:val="center"/>
        </w:trPr>
        <w:tc>
          <w:tcPr>
            <w:tcW w:w="1905" w:type="dxa"/>
            <w:shd w:val="clear" w:color="auto" w:fill="auto"/>
          </w:tcPr>
          <w:p w:rsidR="002A6C68" w:rsidRPr="00F261C5" w:rsidRDefault="002A6C68" w:rsidP="00F261C5">
            <w:pPr>
              <w:ind w:left="175"/>
              <w:rPr>
                <w:rFonts w:ascii="Times New Roman" w:hAnsi="Times New Roman"/>
                <w:sz w:val="20"/>
                <w:szCs w:val="20"/>
              </w:rPr>
            </w:pPr>
            <w:r w:rsidRPr="00F261C5">
              <w:rPr>
                <w:rFonts w:ascii="Times New Roman" w:hAnsi="Times New Roman"/>
                <w:sz w:val="20"/>
                <w:szCs w:val="20"/>
              </w:rPr>
              <w:t>(percent)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p>
        </w:tc>
      </w:tr>
      <w:tr w:rsidR="002A6C68" w:rsidRPr="00F261C5" w:rsidTr="00F261C5">
        <w:trPr>
          <w:jc w:val="center"/>
        </w:trPr>
        <w:tc>
          <w:tcPr>
            <w:tcW w:w="1905" w:type="dxa"/>
            <w:shd w:val="clear" w:color="auto" w:fill="auto"/>
          </w:tcPr>
          <w:p w:rsidR="002A6C68" w:rsidRPr="00F261C5" w:rsidRDefault="002A6C68" w:rsidP="002A6C68">
            <w:pPr>
              <w:rPr>
                <w:rFonts w:ascii="Times New Roman" w:hAnsi="Times New Roman"/>
                <w:sz w:val="20"/>
                <w:szCs w:val="20"/>
              </w:rPr>
            </w:pPr>
            <w:r w:rsidRPr="00F261C5">
              <w:rPr>
                <w:rFonts w:ascii="Times New Roman" w:hAnsi="Times New Roman"/>
                <w:sz w:val="20"/>
                <w:szCs w:val="20"/>
              </w:rPr>
              <w:t>Distance to Transit</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0.30</w:t>
            </w:r>
          </w:p>
        </w:tc>
        <w:tc>
          <w:tcPr>
            <w:tcW w:w="1310" w:type="dxa"/>
            <w:shd w:val="clear" w:color="auto" w:fill="auto"/>
          </w:tcPr>
          <w:p w:rsidR="002A6C68" w:rsidRPr="00F261C5" w:rsidRDefault="002A6C68" w:rsidP="00F261C5">
            <w:pPr>
              <w:tabs>
                <w:tab w:val="decimal" w:pos="288"/>
              </w:tabs>
              <w:jc w:val="center"/>
              <w:rPr>
                <w:rFonts w:ascii="Times New Roman" w:hAnsi="Times New Roman"/>
                <w:sz w:val="20"/>
                <w:szCs w:val="20"/>
              </w:rPr>
            </w:pPr>
            <w:r w:rsidRPr="00F261C5">
              <w:rPr>
                <w:rFonts w:ascii="Times New Roman" w:hAnsi="Times New Roman"/>
                <w:sz w:val="20"/>
                <w:szCs w:val="20"/>
              </w:rPr>
              <w:t>0.43</w:t>
            </w:r>
          </w:p>
        </w:tc>
      </w:tr>
      <w:tr w:rsidR="002A6C68" w:rsidRPr="00F261C5" w:rsidTr="00F261C5">
        <w:trPr>
          <w:jc w:val="center"/>
        </w:trPr>
        <w:tc>
          <w:tcPr>
            <w:tcW w:w="1905" w:type="dxa"/>
            <w:tcBorders>
              <w:bottom w:val="single" w:sz="4" w:space="0" w:color="auto"/>
            </w:tcBorders>
            <w:shd w:val="clear" w:color="auto" w:fill="auto"/>
          </w:tcPr>
          <w:p w:rsidR="002A6C68" w:rsidRPr="00F261C5" w:rsidRDefault="002A6C68" w:rsidP="00F261C5">
            <w:pPr>
              <w:ind w:left="180"/>
              <w:rPr>
                <w:rFonts w:ascii="Times New Roman" w:hAnsi="Times New Roman"/>
                <w:sz w:val="20"/>
                <w:szCs w:val="20"/>
              </w:rPr>
            </w:pPr>
            <w:r w:rsidRPr="00F261C5">
              <w:rPr>
                <w:rFonts w:ascii="Times New Roman" w:hAnsi="Times New Roman"/>
                <w:sz w:val="20"/>
                <w:szCs w:val="20"/>
              </w:rPr>
              <w:t>(miles)</w:t>
            </w:r>
          </w:p>
        </w:tc>
        <w:tc>
          <w:tcPr>
            <w:tcW w:w="1310" w:type="dxa"/>
            <w:tcBorders>
              <w:bottom w:val="single" w:sz="4" w:space="0" w:color="auto"/>
            </w:tcBorders>
            <w:shd w:val="clear" w:color="auto" w:fill="auto"/>
          </w:tcPr>
          <w:p w:rsidR="002A6C68" w:rsidRPr="00F261C5" w:rsidRDefault="002A6C68" w:rsidP="00F261C5">
            <w:pPr>
              <w:tabs>
                <w:tab w:val="decimal" w:pos="288"/>
              </w:tabs>
              <w:jc w:val="center"/>
              <w:rPr>
                <w:rFonts w:ascii="Times New Roman" w:hAnsi="Times New Roman"/>
                <w:sz w:val="20"/>
                <w:szCs w:val="20"/>
              </w:rPr>
            </w:pPr>
          </w:p>
        </w:tc>
        <w:tc>
          <w:tcPr>
            <w:tcW w:w="1310" w:type="dxa"/>
            <w:tcBorders>
              <w:bottom w:val="single" w:sz="4" w:space="0" w:color="auto"/>
            </w:tcBorders>
            <w:shd w:val="clear" w:color="auto" w:fill="auto"/>
          </w:tcPr>
          <w:p w:rsidR="002A6C68" w:rsidRPr="00F261C5" w:rsidRDefault="002A6C68" w:rsidP="00F261C5">
            <w:pPr>
              <w:tabs>
                <w:tab w:val="decimal" w:pos="288"/>
              </w:tabs>
              <w:jc w:val="center"/>
              <w:rPr>
                <w:rFonts w:ascii="Times New Roman" w:hAnsi="Times New Roman"/>
                <w:sz w:val="20"/>
                <w:szCs w:val="20"/>
              </w:rPr>
            </w:pPr>
          </w:p>
        </w:tc>
      </w:tr>
    </w:tbl>
    <w:p w:rsidR="002A6C68" w:rsidRPr="001823D0" w:rsidRDefault="002A6C68" w:rsidP="002A6C68">
      <w:pPr>
        <w:rPr>
          <w:rFonts w:ascii="Times New Roman" w:hAnsi="Times New Roman"/>
          <w:b/>
        </w:rPr>
      </w:pPr>
    </w:p>
    <w:p w:rsidR="002A6C68" w:rsidRPr="001823D0" w:rsidRDefault="002A6C68" w:rsidP="002A6C68">
      <w:pPr>
        <w:rPr>
          <w:rFonts w:ascii="Times New Roman" w:hAnsi="Times New Roman"/>
          <w:b/>
        </w:rPr>
      </w:pPr>
    </w:p>
    <w:p w:rsidR="00133E9A" w:rsidRDefault="002A6C68" w:rsidP="00133E9A">
      <w:pPr>
        <w:jc w:val="center"/>
        <w:rPr>
          <w:rFonts w:ascii="Times New Roman" w:hAnsi="Times New Roman"/>
          <w:b/>
        </w:rPr>
      </w:pPr>
      <w:r>
        <w:rPr>
          <w:rFonts w:ascii="Times New Roman" w:hAnsi="Times New Roman"/>
          <w:b/>
        </w:rPr>
        <w:br w:type="page"/>
      </w:r>
      <w:r w:rsidR="00036591">
        <w:rPr>
          <w:rFonts w:ascii="Times New Roman" w:hAnsi="Times New Roman"/>
          <w:b/>
        </w:rPr>
        <w:t>Exhibit 3</w:t>
      </w:r>
    </w:p>
    <w:p w:rsidR="00133E9A" w:rsidRDefault="00036591" w:rsidP="00133E9A">
      <w:pPr>
        <w:jc w:val="center"/>
        <w:rPr>
          <w:rFonts w:ascii="Times New Roman" w:hAnsi="Times New Roman"/>
          <w:b/>
        </w:rPr>
      </w:pPr>
      <w:r>
        <w:rPr>
          <w:rFonts w:ascii="Times New Roman" w:hAnsi="Times New Roman"/>
          <w:b/>
        </w:rPr>
        <w:t>Survey Results</w:t>
      </w:r>
    </w:p>
    <w:p w:rsidR="00036591" w:rsidRDefault="00036591" w:rsidP="00133E9A">
      <w:pPr>
        <w:jc w:val="center"/>
        <w:rPr>
          <w:rFonts w:ascii="Times New Roman" w:hAnsi="Times New Roman"/>
          <w:b/>
        </w:rPr>
      </w:pPr>
      <w:r>
        <w:rPr>
          <w:rFonts w:ascii="Times New Roman" w:hAnsi="Times New Roman"/>
          <w:b/>
        </w:rPr>
        <w:t>Percentage of Improvements Related to Sustainability</w:t>
      </w:r>
    </w:p>
    <w:p w:rsidR="00036591" w:rsidRDefault="00036591" w:rsidP="00133E9A">
      <w:pPr>
        <w:jc w:val="center"/>
        <w:rPr>
          <w:rFonts w:ascii="Times New Roman" w:hAnsi="Times New Roman"/>
          <w:b/>
        </w:rPr>
      </w:pPr>
    </w:p>
    <w:p w:rsidR="00036591" w:rsidRDefault="00BA19B4" w:rsidP="00133E9A">
      <w:pPr>
        <w:jc w:val="center"/>
        <w:rPr>
          <w:rFonts w:ascii="Times New Roman" w:hAnsi="Times New Roman"/>
          <w:b/>
        </w:rPr>
      </w:pPr>
      <w:r>
        <w:rPr>
          <w:noProof/>
        </w:rPr>
        <w:drawing>
          <wp:inline distT="0" distB="0" distL="0" distR="0" wp14:anchorId="7B526BCD" wp14:editId="7447E69F">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3E9A" w:rsidRDefault="00133E9A" w:rsidP="00133E9A">
      <w:pPr>
        <w:jc w:val="center"/>
        <w:rPr>
          <w:rFonts w:ascii="Times New Roman" w:hAnsi="Times New Roman"/>
          <w:b/>
        </w:rPr>
      </w:pPr>
    </w:p>
    <w:p w:rsidR="00133E9A" w:rsidRDefault="00133E9A" w:rsidP="00133E9A">
      <w:pPr>
        <w:jc w:val="center"/>
        <w:rPr>
          <w:rFonts w:ascii="Times New Roman" w:hAnsi="Times New Roman"/>
          <w:b/>
        </w:rPr>
      </w:pPr>
    </w:p>
    <w:p w:rsidR="00133E9A" w:rsidRDefault="00133E9A" w:rsidP="00133E9A">
      <w:pPr>
        <w:jc w:val="center"/>
        <w:rPr>
          <w:rFonts w:ascii="Times New Roman" w:hAnsi="Times New Roman"/>
          <w:b/>
        </w:rPr>
      </w:pPr>
    </w:p>
    <w:p w:rsidR="00133E9A" w:rsidRDefault="00133E9A" w:rsidP="00133E9A">
      <w:pPr>
        <w:jc w:val="center"/>
        <w:rPr>
          <w:rFonts w:ascii="Times New Roman" w:hAnsi="Times New Roman"/>
          <w:b/>
        </w:rPr>
      </w:pPr>
    </w:p>
    <w:p w:rsidR="00133E9A" w:rsidRDefault="00133E9A" w:rsidP="00133E9A">
      <w:pPr>
        <w:jc w:val="center"/>
        <w:rPr>
          <w:rFonts w:ascii="Times New Roman" w:hAnsi="Times New Roman"/>
          <w:b/>
        </w:rPr>
      </w:pPr>
    </w:p>
    <w:p w:rsidR="00133E9A" w:rsidRDefault="00133E9A" w:rsidP="00133E9A">
      <w:pPr>
        <w:jc w:val="center"/>
        <w:rPr>
          <w:rFonts w:ascii="Times New Roman" w:hAnsi="Times New Roman"/>
          <w:b/>
        </w:rPr>
      </w:pPr>
    </w:p>
    <w:p w:rsidR="00133E9A" w:rsidRDefault="00133E9A" w:rsidP="00133E9A">
      <w:pPr>
        <w:rPr>
          <w:rFonts w:ascii="Times New Roman" w:hAnsi="Times New Roman"/>
          <w:b/>
        </w:rPr>
      </w:pPr>
      <w:r>
        <w:rPr>
          <w:rFonts w:ascii="Times New Roman" w:hAnsi="Times New Roman"/>
          <w:b/>
        </w:rPr>
        <w:br w:type="page"/>
      </w:r>
    </w:p>
    <w:p w:rsidR="00133E9A" w:rsidRDefault="00133E9A" w:rsidP="00133E9A">
      <w:pPr>
        <w:jc w:val="center"/>
        <w:rPr>
          <w:rFonts w:ascii="Times New Roman" w:hAnsi="Times New Roman"/>
          <w:b/>
        </w:rPr>
      </w:pPr>
      <w:r>
        <w:rPr>
          <w:rFonts w:ascii="Times New Roman" w:hAnsi="Times New Roman"/>
          <w:b/>
        </w:rPr>
        <w:t xml:space="preserve">Exhibit </w:t>
      </w:r>
      <w:r w:rsidR="00036591">
        <w:rPr>
          <w:rFonts w:ascii="Times New Roman" w:hAnsi="Times New Roman"/>
          <w:b/>
        </w:rPr>
        <w:t>4</w:t>
      </w:r>
    </w:p>
    <w:p w:rsidR="00036591" w:rsidRDefault="00036591" w:rsidP="00133E9A">
      <w:pPr>
        <w:jc w:val="center"/>
        <w:rPr>
          <w:rFonts w:ascii="Times New Roman" w:hAnsi="Times New Roman"/>
          <w:b/>
        </w:rPr>
      </w:pPr>
      <w:r>
        <w:rPr>
          <w:rFonts w:ascii="Times New Roman" w:hAnsi="Times New Roman"/>
          <w:b/>
        </w:rPr>
        <w:t>Survey Results</w:t>
      </w:r>
    </w:p>
    <w:p w:rsidR="00036591" w:rsidRDefault="00036591" w:rsidP="00133E9A">
      <w:pPr>
        <w:jc w:val="center"/>
        <w:rPr>
          <w:rFonts w:ascii="Times New Roman" w:hAnsi="Times New Roman"/>
          <w:b/>
        </w:rPr>
      </w:pPr>
      <w:r>
        <w:rPr>
          <w:rFonts w:ascii="Times New Roman" w:hAnsi="Times New Roman"/>
          <w:b/>
        </w:rPr>
        <w:t>Major Improvements During Retrofit</w:t>
      </w:r>
    </w:p>
    <w:p w:rsidR="00133E9A" w:rsidRDefault="00133E9A" w:rsidP="00036591">
      <w:pPr>
        <w:rPr>
          <w:rFonts w:ascii="Times New Roman" w:hAnsi="Times New Roman"/>
          <w:b/>
        </w:rPr>
      </w:pPr>
    </w:p>
    <w:p w:rsidR="00133E9A" w:rsidRDefault="00BA19B4" w:rsidP="00133E9A">
      <w:pPr>
        <w:jc w:val="center"/>
        <w:rPr>
          <w:rFonts w:ascii="Times New Roman" w:hAnsi="Times New Roman"/>
          <w:b/>
        </w:rPr>
      </w:pPr>
      <w:r>
        <w:rPr>
          <w:noProof/>
        </w:rPr>
        <w:drawing>
          <wp:inline distT="0" distB="0" distL="0" distR="0" wp14:anchorId="1624F71A" wp14:editId="00653060">
            <wp:extent cx="4572000" cy="3460750"/>
            <wp:effectExtent l="0" t="0" r="2540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3E9A" w:rsidRDefault="00133E9A" w:rsidP="00133E9A">
      <w:pPr>
        <w:jc w:val="center"/>
        <w:rPr>
          <w:rFonts w:ascii="Times New Roman" w:hAnsi="Times New Roman"/>
          <w:b/>
        </w:rPr>
      </w:pPr>
    </w:p>
    <w:p w:rsidR="00133E9A" w:rsidRDefault="00133E9A" w:rsidP="00133E9A">
      <w:pPr>
        <w:rPr>
          <w:rFonts w:ascii="Times New Roman" w:hAnsi="Times New Roman"/>
          <w:b/>
        </w:rPr>
      </w:pPr>
      <w:r>
        <w:rPr>
          <w:rFonts w:ascii="Times New Roman" w:hAnsi="Times New Roman"/>
          <w:b/>
        </w:rPr>
        <w:br w:type="page"/>
      </w:r>
    </w:p>
    <w:p w:rsidR="00133E9A" w:rsidRDefault="00BC1311" w:rsidP="00133E9A">
      <w:pPr>
        <w:jc w:val="center"/>
        <w:rPr>
          <w:rFonts w:ascii="Times New Roman" w:hAnsi="Times New Roman"/>
          <w:b/>
        </w:rPr>
      </w:pPr>
      <w:r>
        <w:rPr>
          <w:rFonts w:ascii="Times New Roman" w:hAnsi="Times New Roman"/>
          <w:b/>
        </w:rPr>
        <w:t>Exhibit 5</w:t>
      </w:r>
    </w:p>
    <w:p w:rsidR="00BC1311" w:rsidRDefault="00BC1311" w:rsidP="00133E9A">
      <w:pPr>
        <w:jc w:val="center"/>
        <w:rPr>
          <w:rFonts w:ascii="Times New Roman" w:hAnsi="Times New Roman"/>
          <w:b/>
        </w:rPr>
      </w:pPr>
      <w:r>
        <w:rPr>
          <w:rFonts w:ascii="Times New Roman" w:hAnsi="Times New Roman"/>
          <w:b/>
        </w:rPr>
        <w:t>Survey Results</w:t>
      </w:r>
    </w:p>
    <w:p w:rsidR="00BC1311" w:rsidRDefault="00BC1311" w:rsidP="00133E9A">
      <w:pPr>
        <w:jc w:val="center"/>
        <w:rPr>
          <w:rFonts w:ascii="Times New Roman" w:hAnsi="Times New Roman"/>
          <w:b/>
        </w:rPr>
      </w:pPr>
      <w:r>
        <w:rPr>
          <w:rFonts w:ascii="Times New Roman" w:hAnsi="Times New Roman"/>
          <w:b/>
        </w:rPr>
        <w:t>Expected Payback in Years on Sustainability-Related Improvements</w:t>
      </w:r>
    </w:p>
    <w:p w:rsidR="00133E9A" w:rsidRDefault="00133E9A" w:rsidP="00133E9A">
      <w:pPr>
        <w:jc w:val="center"/>
        <w:rPr>
          <w:rFonts w:ascii="Times New Roman" w:hAnsi="Times New Roman"/>
          <w:b/>
        </w:rPr>
      </w:pPr>
    </w:p>
    <w:p w:rsidR="00BC1311" w:rsidRDefault="00BA19B4" w:rsidP="00133E9A">
      <w:pPr>
        <w:jc w:val="center"/>
        <w:rPr>
          <w:rFonts w:ascii="Times New Roman" w:hAnsi="Times New Roman"/>
          <w:b/>
        </w:rPr>
      </w:pPr>
      <w:r>
        <w:rPr>
          <w:noProof/>
        </w:rPr>
        <w:drawing>
          <wp:inline distT="0" distB="0" distL="0" distR="0" wp14:anchorId="057B4ED1" wp14:editId="6AD28AB7">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3E9A" w:rsidRDefault="00133E9A" w:rsidP="00133E9A">
      <w:pPr>
        <w:rPr>
          <w:rFonts w:ascii="Times New Roman" w:hAnsi="Times New Roman"/>
          <w:b/>
        </w:rPr>
      </w:pPr>
      <w:r>
        <w:rPr>
          <w:rFonts w:ascii="Times New Roman" w:hAnsi="Times New Roman"/>
          <w:b/>
        </w:rPr>
        <w:br w:type="page"/>
      </w:r>
    </w:p>
    <w:p w:rsidR="00133E9A" w:rsidRDefault="00B74879" w:rsidP="00133E9A">
      <w:pPr>
        <w:jc w:val="center"/>
        <w:rPr>
          <w:rFonts w:ascii="Times New Roman" w:hAnsi="Times New Roman"/>
          <w:b/>
        </w:rPr>
      </w:pPr>
      <w:r>
        <w:rPr>
          <w:rFonts w:ascii="Times New Roman" w:hAnsi="Times New Roman"/>
          <w:b/>
        </w:rPr>
        <w:t>Exhibit 6</w:t>
      </w:r>
    </w:p>
    <w:p w:rsidR="00B74879" w:rsidRDefault="00B74879" w:rsidP="00133E9A">
      <w:pPr>
        <w:jc w:val="center"/>
        <w:rPr>
          <w:rFonts w:ascii="Times New Roman" w:hAnsi="Times New Roman"/>
          <w:b/>
        </w:rPr>
      </w:pPr>
      <w:r>
        <w:rPr>
          <w:rFonts w:ascii="Times New Roman" w:hAnsi="Times New Roman"/>
          <w:b/>
        </w:rPr>
        <w:t>Survey Results</w:t>
      </w:r>
    </w:p>
    <w:p w:rsidR="00B74879" w:rsidRDefault="00B261CD" w:rsidP="00133E9A">
      <w:pPr>
        <w:jc w:val="center"/>
        <w:rPr>
          <w:rFonts w:ascii="Times New Roman" w:hAnsi="Times New Roman"/>
          <w:b/>
        </w:rPr>
      </w:pPr>
      <w:r>
        <w:rPr>
          <w:rFonts w:ascii="Times New Roman" w:hAnsi="Times New Roman"/>
          <w:b/>
        </w:rPr>
        <w:t>C</w:t>
      </w:r>
      <w:r w:rsidRPr="00B261CD">
        <w:rPr>
          <w:rFonts w:ascii="Times New Roman" w:hAnsi="Times New Roman"/>
          <w:b/>
        </w:rPr>
        <w:t xml:space="preserve">urrent </w:t>
      </w:r>
      <w:r>
        <w:rPr>
          <w:rFonts w:ascii="Times New Roman" w:hAnsi="Times New Roman"/>
          <w:b/>
        </w:rPr>
        <w:t>R</w:t>
      </w:r>
      <w:r w:rsidRPr="00B261CD">
        <w:rPr>
          <w:rFonts w:ascii="Times New Roman" w:hAnsi="Times New Roman"/>
          <w:b/>
        </w:rPr>
        <w:t xml:space="preserve">ent </w:t>
      </w:r>
      <w:r>
        <w:rPr>
          <w:rFonts w:ascii="Times New Roman" w:hAnsi="Times New Roman"/>
          <w:b/>
        </w:rPr>
        <w:t>L</w:t>
      </w:r>
      <w:r w:rsidRPr="00B261CD">
        <w:rPr>
          <w:rFonts w:ascii="Times New Roman" w:hAnsi="Times New Roman"/>
          <w:b/>
        </w:rPr>
        <w:t xml:space="preserve">evel </w:t>
      </w:r>
      <w:r>
        <w:rPr>
          <w:rFonts w:ascii="Times New Roman" w:hAnsi="Times New Roman"/>
          <w:b/>
        </w:rPr>
        <w:t>C</w:t>
      </w:r>
      <w:r w:rsidRPr="00B261CD">
        <w:rPr>
          <w:rFonts w:ascii="Times New Roman" w:hAnsi="Times New Roman"/>
          <w:b/>
        </w:rPr>
        <w:t xml:space="preserve">ompared to </w:t>
      </w:r>
      <w:r>
        <w:rPr>
          <w:rFonts w:ascii="Times New Roman" w:hAnsi="Times New Roman"/>
          <w:b/>
        </w:rPr>
        <w:t>A</w:t>
      </w:r>
      <w:r w:rsidRPr="00B261CD">
        <w:rPr>
          <w:rFonts w:ascii="Times New Roman" w:hAnsi="Times New Roman"/>
          <w:b/>
        </w:rPr>
        <w:t xml:space="preserve">verage </w:t>
      </w:r>
      <w:r>
        <w:rPr>
          <w:rFonts w:ascii="Times New Roman" w:hAnsi="Times New Roman"/>
          <w:b/>
        </w:rPr>
        <w:t>R</w:t>
      </w:r>
      <w:r w:rsidRPr="00B261CD">
        <w:rPr>
          <w:rFonts w:ascii="Times New Roman" w:hAnsi="Times New Roman"/>
          <w:b/>
        </w:rPr>
        <w:t xml:space="preserve">ent for </w:t>
      </w:r>
      <w:r>
        <w:rPr>
          <w:rFonts w:ascii="Times New Roman" w:hAnsi="Times New Roman"/>
          <w:b/>
        </w:rPr>
        <w:t>S</w:t>
      </w:r>
      <w:r w:rsidRPr="00B261CD">
        <w:rPr>
          <w:rFonts w:ascii="Times New Roman" w:hAnsi="Times New Roman"/>
          <w:b/>
        </w:rPr>
        <w:t xml:space="preserve">imilar </w:t>
      </w:r>
      <w:r>
        <w:rPr>
          <w:rFonts w:ascii="Times New Roman" w:hAnsi="Times New Roman"/>
          <w:b/>
        </w:rPr>
        <w:t>B</w:t>
      </w:r>
      <w:r w:rsidRPr="00B261CD">
        <w:rPr>
          <w:rFonts w:ascii="Times New Roman" w:hAnsi="Times New Roman"/>
          <w:b/>
        </w:rPr>
        <w:t xml:space="preserve">ut </w:t>
      </w:r>
      <w:r>
        <w:rPr>
          <w:rFonts w:ascii="Times New Roman" w:hAnsi="Times New Roman"/>
          <w:b/>
        </w:rPr>
        <w:t>N</w:t>
      </w:r>
      <w:r w:rsidRPr="00B261CD">
        <w:rPr>
          <w:rFonts w:ascii="Times New Roman" w:hAnsi="Times New Roman"/>
          <w:b/>
        </w:rPr>
        <w:t xml:space="preserve">on-LEED </w:t>
      </w:r>
      <w:r>
        <w:rPr>
          <w:rFonts w:ascii="Times New Roman" w:hAnsi="Times New Roman"/>
          <w:b/>
        </w:rPr>
        <w:t>B</w:t>
      </w:r>
      <w:r>
        <w:rPr>
          <w:rFonts w:ascii="Times New Roman" w:hAnsi="Times New Roman"/>
          <w:b/>
        </w:rPr>
        <w:tab/>
        <w:t>B</w:t>
      </w:r>
      <w:r w:rsidRPr="00B261CD">
        <w:rPr>
          <w:rFonts w:ascii="Times New Roman" w:hAnsi="Times New Roman"/>
          <w:b/>
        </w:rPr>
        <w:t>uildings</w:t>
      </w:r>
    </w:p>
    <w:p w:rsidR="00B261CD" w:rsidRDefault="00B261CD" w:rsidP="00133E9A">
      <w:pPr>
        <w:jc w:val="center"/>
        <w:rPr>
          <w:rFonts w:ascii="Times New Roman" w:hAnsi="Times New Roman"/>
          <w:b/>
        </w:rPr>
      </w:pPr>
    </w:p>
    <w:p w:rsidR="00B261CD" w:rsidRDefault="00BA19B4" w:rsidP="00133E9A">
      <w:pPr>
        <w:jc w:val="center"/>
        <w:rPr>
          <w:rFonts w:ascii="Times New Roman" w:hAnsi="Times New Roman"/>
          <w:b/>
        </w:rPr>
      </w:pPr>
      <w:r>
        <w:rPr>
          <w:noProof/>
        </w:rPr>
        <w:drawing>
          <wp:inline distT="0" distB="0" distL="0" distR="0" wp14:anchorId="46D40333" wp14:editId="4E8B9358">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3E9A" w:rsidRDefault="00133E9A" w:rsidP="00B261CD">
      <w:pPr>
        <w:rPr>
          <w:rFonts w:ascii="Times New Roman" w:hAnsi="Times New Roman"/>
          <w:b/>
        </w:rPr>
      </w:pPr>
    </w:p>
    <w:p w:rsidR="00133E9A" w:rsidRDefault="00133E9A" w:rsidP="00133E9A">
      <w:pPr>
        <w:jc w:val="center"/>
        <w:rPr>
          <w:rFonts w:ascii="Times New Roman" w:hAnsi="Times New Roman"/>
          <w:b/>
        </w:rPr>
      </w:pPr>
    </w:p>
    <w:p w:rsidR="00133E9A" w:rsidRDefault="00133E9A" w:rsidP="00133E9A">
      <w:pPr>
        <w:rPr>
          <w:rFonts w:ascii="Times New Roman" w:hAnsi="Times New Roman"/>
          <w:b/>
        </w:rPr>
      </w:pPr>
      <w:r>
        <w:rPr>
          <w:rFonts w:ascii="Times New Roman" w:hAnsi="Times New Roman"/>
          <w:b/>
        </w:rPr>
        <w:br w:type="page"/>
      </w:r>
    </w:p>
    <w:p w:rsidR="00B261CD" w:rsidRDefault="00B261CD" w:rsidP="00B261CD">
      <w:pPr>
        <w:jc w:val="center"/>
        <w:rPr>
          <w:rFonts w:ascii="Times New Roman" w:hAnsi="Times New Roman"/>
          <w:b/>
        </w:rPr>
      </w:pPr>
      <w:r w:rsidRPr="00AB3AC8">
        <w:rPr>
          <w:rFonts w:ascii="Times New Roman" w:hAnsi="Times New Roman"/>
          <w:b/>
        </w:rPr>
        <w:t xml:space="preserve">Exhibit </w:t>
      </w:r>
      <w:r>
        <w:rPr>
          <w:rFonts w:ascii="Times New Roman" w:hAnsi="Times New Roman"/>
          <w:b/>
        </w:rPr>
        <w:t>7</w:t>
      </w:r>
    </w:p>
    <w:p w:rsidR="00B261CD" w:rsidRDefault="00B261CD" w:rsidP="007852B1">
      <w:pPr>
        <w:jc w:val="center"/>
        <w:rPr>
          <w:rFonts w:ascii="Times New Roman" w:hAnsi="Times New Roman"/>
          <w:b/>
        </w:rPr>
      </w:pPr>
      <w:r>
        <w:rPr>
          <w:rFonts w:ascii="Times New Roman" w:hAnsi="Times New Roman"/>
          <w:b/>
        </w:rPr>
        <w:t>Rents and Vacancy Rates</w:t>
      </w:r>
      <w:r w:rsidR="007852B1">
        <w:rPr>
          <w:rFonts w:ascii="Times New Roman" w:hAnsi="Times New Roman"/>
          <w:b/>
        </w:rPr>
        <w:t xml:space="preserve"> of </w:t>
      </w:r>
      <w:r>
        <w:rPr>
          <w:rFonts w:ascii="Times New Roman" w:hAnsi="Times New Roman"/>
          <w:b/>
        </w:rPr>
        <w:t>LEED Sample and Control Sample</w:t>
      </w:r>
    </w:p>
    <w:p w:rsidR="00B261CD" w:rsidRDefault="00B261CD" w:rsidP="00B261CD">
      <w:pPr>
        <w:jc w:val="center"/>
        <w:rPr>
          <w:rFonts w:ascii="Times New Roman" w:hAnsi="Times New Roman"/>
          <w:b/>
        </w:rPr>
      </w:pPr>
      <w:r>
        <w:rPr>
          <w:rFonts w:ascii="Times New Roman" w:hAnsi="Times New Roman"/>
          <w:b/>
        </w:rPr>
        <w:t>(Q</w:t>
      </w:r>
      <w:r w:rsidR="007852B1">
        <w:rPr>
          <w:rFonts w:ascii="Times New Roman" w:hAnsi="Times New Roman"/>
          <w:b/>
        </w:rPr>
        <w:t>1</w:t>
      </w:r>
      <w:r>
        <w:rPr>
          <w:rFonts w:ascii="Times New Roman" w:hAnsi="Times New Roman"/>
          <w:b/>
        </w:rPr>
        <w:t xml:space="preserve"> 2000 – Q</w:t>
      </w:r>
      <w:r w:rsidR="007852B1">
        <w:rPr>
          <w:rFonts w:ascii="Times New Roman" w:hAnsi="Times New Roman"/>
          <w:b/>
        </w:rPr>
        <w:t>1</w:t>
      </w:r>
      <w:r>
        <w:rPr>
          <w:rFonts w:ascii="Times New Roman" w:hAnsi="Times New Roman"/>
          <w:b/>
        </w:rPr>
        <w:t xml:space="preserve"> 2011)</w:t>
      </w:r>
    </w:p>
    <w:p w:rsidR="00B261CD" w:rsidRDefault="00B261CD" w:rsidP="00B261CD">
      <w:pPr>
        <w:jc w:val="center"/>
        <w:rPr>
          <w:rFonts w:ascii="Times New Roman" w:hAnsi="Times New Roman"/>
          <w:b/>
        </w:rPr>
      </w:pPr>
    </w:p>
    <w:p w:rsidR="00B261CD" w:rsidRPr="00AB3AC8" w:rsidRDefault="00B261CD" w:rsidP="007852B1">
      <w:pPr>
        <w:rPr>
          <w:rFonts w:ascii="Times New Roman" w:hAnsi="Times New Roman"/>
          <w:b/>
        </w:rPr>
      </w:pPr>
      <w:r>
        <w:rPr>
          <w:rFonts w:ascii="Times New Roman" w:hAnsi="Times New Roman"/>
          <w:b/>
        </w:rPr>
        <w:t>Panel A. Rental Levels Pr</w:t>
      </w:r>
      <w:r w:rsidRPr="00AB3AC8">
        <w:rPr>
          <w:rFonts w:ascii="Times New Roman" w:hAnsi="Times New Roman"/>
          <w:b/>
        </w:rPr>
        <w:t xml:space="preserve">ior </w:t>
      </w:r>
      <w:r>
        <w:rPr>
          <w:rFonts w:ascii="Times New Roman" w:hAnsi="Times New Roman"/>
          <w:b/>
        </w:rPr>
        <w:t>T</w:t>
      </w:r>
      <w:r w:rsidRPr="00AB3AC8">
        <w:rPr>
          <w:rFonts w:ascii="Times New Roman" w:hAnsi="Times New Roman"/>
          <w:b/>
        </w:rPr>
        <w:t xml:space="preserve">o and </w:t>
      </w:r>
      <w:r>
        <w:rPr>
          <w:rFonts w:ascii="Times New Roman" w:hAnsi="Times New Roman"/>
          <w:b/>
        </w:rPr>
        <w:t>A</w:t>
      </w:r>
      <w:r w:rsidRPr="00AB3AC8">
        <w:rPr>
          <w:rFonts w:ascii="Times New Roman" w:hAnsi="Times New Roman"/>
          <w:b/>
        </w:rPr>
        <w:t xml:space="preserve">fter </w:t>
      </w:r>
      <w:r>
        <w:rPr>
          <w:rFonts w:ascii="Times New Roman" w:hAnsi="Times New Roman"/>
          <w:b/>
        </w:rPr>
        <w:t>R</w:t>
      </w:r>
      <w:r w:rsidRPr="00AB3AC8">
        <w:rPr>
          <w:rFonts w:ascii="Times New Roman" w:hAnsi="Times New Roman"/>
          <w:b/>
        </w:rPr>
        <w:t>enovation</w:t>
      </w:r>
    </w:p>
    <w:p w:rsidR="00B261CD" w:rsidRDefault="007852B1" w:rsidP="007852B1">
      <w:pPr>
        <w:jc w:val="center"/>
        <w:rPr>
          <w:rFonts w:ascii="Times New Roman" w:hAnsi="Times New Roman"/>
        </w:rPr>
      </w:pPr>
      <w:r>
        <w:rPr>
          <w:noProof/>
        </w:rPr>
        <w:drawing>
          <wp:inline distT="0" distB="0" distL="0" distR="0" wp14:anchorId="63604D43" wp14:editId="79B1FD86">
            <wp:extent cx="4795736" cy="3360901"/>
            <wp:effectExtent l="0" t="0" r="5080" b="0"/>
            <wp:docPr id="19" name="Char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52B1" w:rsidRDefault="007852B1" w:rsidP="007852B1">
      <w:pPr>
        <w:jc w:val="center"/>
        <w:rPr>
          <w:rFonts w:ascii="Times New Roman" w:hAnsi="Times New Roman"/>
        </w:rPr>
      </w:pPr>
    </w:p>
    <w:p w:rsidR="00B261CD" w:rsidRPr="00B83F87" w:rsidRDefault="00B261CD" w:rsidP="00B261CD">
      <w:pPr>
        <w:rPr>
          <w:rFonts w:ascii="Times New Roman" w:hAnsi="Times New Roman"/>
          <w:b/>
        </w:rPr>
      </w:pPr>
      <w:r>
        <w:rPr>
          <w:rFonts w:ascii="Times New Roman" w:hAnsi="Times New Roman"/>
          <w:b/>
        </w:rPr>
        <w:t>Panel B.</w:t>
      </w:r>
      <w:r w:rsidRPr="00B83F87">
        <w:rPr>
          <w:rFonts w:ascii="Times New Roman" w:hAnsi="Times New Roman"/>
          <w:b/>
        </w:rPr>
        <w:t xml:space="preserve"> Occupancy </w:t>
      </w:r>
      <w:r>
        <w:rPr>
          <w:rFonts w:ascii="Times New Roman" w:hAnsi="Times New Roman"/>
          <w:b/>
        </w:rPr>
        <w:t xml:space="preserve">Rates </w:t>
      </w:r>
      <w:r w:rsidRPr="00B83F87">
        <w:rPr>
          <w:rFonts w:ascii="Times New Roman" w:hAnsi="Times New Roman"/>
          <w:b/>
        </w:rPr>
        <w:t>Prior to and After Renovation</w:t>
      </w:r>
    </w:p>
    <w:p w:rsidR="00B261CD" w:rsidRDefault="00B261CD" w:rsidP="00B261CD">
      <w:pPr>
        <w:jc w:val="center"/>
        <w:rPr>
          <w:rFonts w:ascii="Times New Roman" w:hAnsi="Times New Roman"/>
        </w:rPr>
      </w:pPr>
    </w:p>
    <w:p w:rsidR="00B261CD" w:rsidRDefault="007852B1" w:rsidP="00B261CD">
      <w:pPr>
        <w:jc w:val="center"/>
        <w:rPr>
          <w:rFonts w:ascii="Times New Roman" w:hAnsi="Times New Roman"/>
        </w:rPr>
      </w:pPr>
      <w:r>
        <w:rPr>
          <w:noProof/>
        </w:rPr>
        <w:drawing>
          <wp:inline distT="0" distB="0" distL="0" distR="0" wp14:anchorId="7323CDF5" wp14:editId="43A641AE">
            <wp:extent cx="4688732" cy="33147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52B1" w:rsidRDefault="00B261CD" w:rsidP="007852B1">
      <w:pPr>
        <w:jc w:val="center"/>
        <w:rPr>
          <w:rFonts w:ascii="Times New Roman" w:hAnsi="Times New Roman"/>
          <w:b/>
        </w:rPr>
      </w:pPr>
      <w:r>
        <w:rPr>
          <w:rFonts w:ascii="Times New Roman" w:hAnsi="Times New Roman"/>
        </w:rPr>
        <w:br w:type="page"/>
      </w:r>
      <w:r w:rsidR="007852B1">
        <w:rPr>
          <w:rFonts w:ascii="Times New Roman" w:hAnsi="Times New Roman"/>
          <w:b/>
        </w:rPr>
        <w:t>Exhibit 8</w:t>
      </w:r>
    </w:p>
    <w:p w:rsidR="005A6B23" w:rsidRDefault="005A6B23" w:rsidP="005A6B23">
      <w:pPr>
        <w:jc w:val="center"/>
        <w:rPr>
          <w:rFonts w:ascii="Times New Roman" w:hAnsi="Times New Roman"/>
          <w:b/>
        </w:rPr>
      </w:pPr>
      <w:r>
        <w:rPr>
          <w:rFonts w:ascii="Times New Roman" w:hAnsi="Times New Roman"/>
          <w:b/>
        </w:rPr>
        <w:t>Aggregate Rents and Vacancy Rates of LEED Sample and Control Sample</w:t>
      </w:r>
    </w:p>
    <w:p w:rsidR="007852B1" w:rsidRDefault="005A6B23" w:rsidP="005A6B23">
      <w:pPr>
        <w:jc w:val="center"/>
        <w:rPr>
          <w:rFonts w:ascii="Times New Roman" w:hAnsi="Times New Roman"/>
          <w:b/>
        </w:rPr>
      </w:pPr>
      <w:r>
        <w:rPr>
          <w:rFonts w:ascii="Times New Roman" w:hAnsi="Times New Roman"/>
          <w:b/>
        </w:rPr>
        <w:t xml:space="preserve"> </w:t>
      </w:r>
      <w:r w:rsidR="007852B1">
        <w:rPr>
          <w:rFonts w:ascii="Times New Roman" w:hAnsi="Times New Roman"/>
          <w:b/>
        </w:rPr>
        <w:t>(</w:t>
      </w:r>
      <w:r>
        <w:rPr>
          <w:rFonts w:ascii="Times New Roman" w:hAnsi="Times New Roman"/>
          <w:b/>
        </w:rPr>
        <w:t xml:space="preserve">By Market, </w:t>
      </w:r>
      <w:r w:rsidR="007852B1">
        <w:rPr>
          <w:rFonts w:ascii="Times New Roman" w:hAnsi="Times New Roman"/>
          <w:b/>
        </w:rPr>
        <w:t>Q1 2011)</w:t>
      </w:r>
    </w:p>
    <w:p w:rsidR="005A6B23" w:rsidRDefault="005A6B23" w:rsidP="005A6B23">
      <w:pPr>
        <w:jc w:val="center"/>
        <w:rPr>
          <w:rFonts w:ascii="Times New Roman" w:hAnsi="Times New Roman"/>
          <w:b/>
        </w:rPr>
      </w:pPr>
    </w:p>
    <w:p w:rsidR="00B261CD" w:rsidRDefault="005A6B23" w:rsidP="005A6B23">
      <w:pPr>
        <w:rPr>
          <w:rFonts w:ascii="Times New Roman" w:hAnsi="Times New Roman"/>
        </w:rPr>
      </w:pPr>
      <w:r>
        <w:rPr>
          <w:rFonts w:ascii="Times New Roman" w:hAnsi="Times New Roman"/>
          <w:b/>
        </w:rPr>
        <w:t>Panel A. Rental Levels</w:t>
      </w:r>
    </w:p>
    <w:p w:rsidR="005A6B23" w:rsidRDefault="00B261CD" w:rsidP="005A6B23">
      <w:pPr>
        <w:jc w:val="center"/>
        <w:rPr>
          <w:rFonts w:ascii="Times New Roman" w:hAnsi="Times New Roman"/>
          <w:b/>
        </w:rPr>
      </w:pPr>
      <w:r>
        <w:rPr>
          <w:rFonts w:ascii="Times New Roman" w:hAnsi="Times New Roman"/>
          <w:noProof/>
        </w:rPr>
        <w:drawing>
          <wp:inline distT="0" distB="0" distL="0" distR="0" wp14:anchorId="109F49EA" wp14:editId="212B14B1">
            <wp:extent cx="4097777" cy="3634288"/>
            <wp:effectExtent l="0" t="0" r="0" b="4445"/>
            <wp:docPr id="9"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6B23" w:rsidRDefault="005A6B23" w:rsidP="005A6B23">
      <w:pPr>
        <w:rPr>
          <w:rFonts w:ascii="Times New Roman" w:hAnsi="Times New Roman"/>
          <w:b/>
        </w:rPr>
      </w:pPr>
      <w:r>
        <w:rPr>
          <w:rFonts w:ascii="Times New Roman" w:hAnsi="Times New Roman"/>
          <w:b/>
        </w:rPr>
        <w:t>Panel B. Occupancy Rates</w:t>
      </w:r>
    </w:p>
    <w:p w:rsidR="00B261CD" w:rsidRPr="005A6B23" w:rsidRDefault="005A6B23" w:rsidP="005A6B23">
      <w:pPr>
        <w:jc w:val="center"/>
        <w:rPr>
          <w:rFonts w:ascii="Times New Roman" w:hAnsi="Times New Roman"/>
        </w:rPr>
      </w:pPr>
      <w:r>
        <w:rPr>
          <w:rFonts w:ascii="Times New Roman" w:hAnsi="Times New Roman"/>
          <w:b/>
          <w:noProof/>
        </w:rPr>
        <w:drawing>
          <wp:inline distT="0" distB="0" distL="0" distR="0" wp14:anchorId="6E758B90" wp14:editId="5D2965F2">
            <wp:extent cx="3881336" cy="3306283"/>
            <wp:effectExtent l="0" t="0" r="5080" b="8890"/>
            <wp:docPr id="1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261CD">
        <w:rPr>
          <w:rFonts w:ascii="Times New Roman" w:hAnsi="Times New Roman"/>
          <w:b/>
        </w:rPr>
        <w:br w:type="page"/>
      </w:r>
    </w:p>
    <w:p w:rsidR="00B261CD" w:rsidRDefault="00B261CD" w:rsidP="00B261CD">
      <w:pPr>
        <w:jc w:val="center"/>
        <w:rPr>
          <w:rFonts w:ascii="Times New Roman" w:hAnsi="Times New Roman"/>
          <w:b/>
        </w:rPr>
      </w:pPr>
    </w:p>
    <w:p w:rsidR="00B261CD" w:rsidRDefault="00B261CD" w:rsidP="00B261CD">
      <w:pPr>
        <w:jc w:val="center"/>
        <w:rPr>
          <w:rFonts w:ascii="Times New Roman" w:hAnsi="Times New Roman"/>
          <w:b/>
        </w:rPr>
      </w:pPr>
    </w:p>
    <w:p w:rsidR="00665605" w:rsidRDefault="005A6B23" w:rsidP="005A6B23">
      <w:pPr>
        <w:jc w:val="center"/>
        <w:rPr>
          <w:rFonts w:ascii="Times New Roman" w:hAnsi="Times New Roman"/>
          <w:b/>
        </w:rPr>
      </w:pPr>
      <w:r>
        <w:rPr>
          <w:rFonts w:ascii="Times New Roman" w:hAnsi="Times New Roman"/>
          <w:b/>
        </w:rPr>
        <w:t>Exhibit 9</w:t>
      </w:r>
    </w:p>
    <w:p w:rsidR="005A6B23" w:rsidRPr="001823D0" w:rsidRDefault="005A6B23" w:rsidP="005A6B23">
      <w:pPr>
        <w:jc w:val="center"/>
        <w:rPr>
          <w:rFonts w:ascii="Times New Roman" w:hAnsi="Times New Roman"/>
          <w:b/>
        </w:rPr>
      </w:pPr>
      <w:r>
        <w:rPr>
          <w:rFonts w:ascii="Times New Roman" w:hAnsi="Times New Roman"/>
          <w:b/>
        </w:rPr>
        <w:t>Regression Results</w:t>
      </w:r>
    </w:p>
    <w:p w:rsidR="00665605" w:rsidRPr="001823D0" w:rsidRDefault="005A6B23" w:rsidP="00665605">
      <w:pPr>
        <w:jc w:val="center"/>
        <w:rPr>
          <w:rFonts w:ascii="Times New Roman" w:hAnsi="Times New Roman"/>
          <w:b/>
        </w:rPr>
      </w:pPr>
      <w:r>
        <w:rPr>
          <w:rFonts w:ascii="Times New Roman" w:hAnsi="Times New Roman"/>
          <w:b/>
        </w:rPr>
        <w:t>LEED</w:t>
      </w:r>
      <w:r w:rsidR="00665605" w:rsidRPr="001823D0">
        <w:rPr>
          <w:rFonts w:ascii="Times New Roman" w:hAnsi="Times New Roman"/>
          <w:b/>
        </w:rPr>
        <w:t xml:space="preserve"> Ratings and Rents</w:t>
      </w:r>
    </w:p>
    <w:p w:rsidR="00AA7DC2" w:rsidRPr="001823D0" w:rsidRDefault="00AA7DC2" w:rsidP="00AA7DC2">
      <w:pPr>
        <w:rPr>
          <w:rFonts w:ascii="Times New Roman" w:hAnsi="Times New Roman"/>
        </w:rPr>
      </w:pPr>
    </w:p>
    <w:tbl>
      <w:tblPr>
        <w:tblW w:w="5835" w:type="dxa"/>
        <w:jc w:val="center"/>
        <w:tblLook w:val="04A0" w:firstRow="1" w:lastRow="0" w:firstColumn="1" w:lastColumn="0" w:noHBand="0" w:noVBand="1"/>
      </w:tblPr>
      <w:tblGrid>
        <w:gridCol w:w="1905"/>
        <w:gridCol w:w="1310"/>
        <w:gridCol w:w="1310"/>
        <w:gridCol w:w="1310"/>
      </w:tblGrid>
      <w:tr w:rsidR="00142850" w:rsidRPr="00F261C5" w:rsidTr="00F261C5">
        <w:trPr>
          <w:jc w:val="center"/>
        </w:trPr>
        <w:tc>
          <w:tcPr>
            <w:tcW w:w="1905" w:type="dxa"/>
            <w:tcBorders>
              <w:top w:val="single" w:sz="4" w:space="0" w:color="auto"/>
              <w:bottom w:val="single" w:sz="4" w:space="0" w:color="auto"/>
            </w:tcBorders>
            <w:shd w:val="clear" w:color="auto" w:fill="auto"/>
          </w:tcPr>
          <w:p w:rsidR="00142850" w:rsidRPr="00F261C5" w:rsidRDefault="00142850" w:rsidP="00AA7DC2">
            <w:pPr>
              <w:rPr>
                <w:rFonts w:ascii="Times New Roman" w:hAnsi="Times New Roman"/>
                <w:sz w:val="20"/>
                <w:szCs w:val="20"/>
              </w:rPr>
            </w:pPr>
          </w:p>
        </w:tc>
        <w:tc>
          <w:tcPr>
            <w:tcW w:w="1310" w:type="dxa"/>
            <w:tcBorders>
              <w:top w:val="single" w:sz="4" w:space="0" w:color="auto"/>
              <w:bottom w:val="single" w:sz="4" w:space="0" w:color="auto"/>
            </w:tcBorders>
            <w:shd w:val="clear" w:color="auto" w:fill="auto"/>
          </w:tcPr>
          <w:p w:rsidR="00142850" w:rsidRPr="00F261C5" w:rsidRDefault="00142850" w:rsidP="00F261C5">
            <w:pPr>
              <w:jc w:val="center"/>
              <w:rPr>
                <w:rFonts w:ascii="Times New Roman" w:hAnsi="Times New Roman"/>
                <w:sz w:val="20"/>
                <w:szCs w:val="20"/>
              </w:rPr>
            </w:pPr>
            <w:r w:rsidRPr="00F261C5">
              <w:rPr>
                <w:rFonts w:ascii="Times New Roman" w:hAnsi="Times New Roman"/>
                <w:sz w:val="20"/>
                <w:szCs w:val="20"/>
              </w:rPr>
              <w:t>(</w:t>
            </w:r>
            <w:r w:rsidR="00255EF1" w:rsidRPr="00F261C5">
              <w:rPr>
                <w:rFonts w:ascii="Times New Roman" w:hAnsi="Times New Roman"/>
                <w:sz w:val="20"/>
                <w:szCs w:val="20"/>
              </w:rPr>
              <w:t>1</w:t>
            </w:r>
            <w:r w:rsidRPr="00F261C5">
              <w:rPr>
                <w:rFonts w:ascii="Times New Roman" w:hAnsi="Times New Roman"/>
                <w:sz w:val="20"/>
                <w:szCs w:val="20"/>
              </w:rPr>
              <w:t>)</w:t>
            </w:r>
          </w:p>
        </w:tc>
        <w:tc>
          <w:tcPr>
            <w:tcW w:w="1310" w:type="dxa"/>
            <w:tcBorders>
              <w:top w:val="single" w:sz="4" w:space="0" w:color="auto"/>
              <w:bottom w:val="single" w:sz="4" w:space="0" w:color="auto"/>
            </w:tcBorders>
            <w:shd w:val="clear" w:color="auto" w:fill="auto"/>
          </w:tcPr>
          <w:p w:rsidR="00142850" w:rsidRPr="00F261C5" w:rsidRDefault="00142850" w:rsidP="00F261C5">
            <w:pPr>
              <w:jc w:val="center"/>
              <w:rPr>
                <w:rFonts w:ascii="Times New Roman" w:hAnsi="Times New Roman"/>
                <w:sz w:val="20"/>
                <w:szCs w:val="20"/>
              </w:rPr>
            </w:pPr>
            <w:r w:rsidRPr="00F261C5">
              <w:rPr>
                <w:rFonts w:ascii="Times New Roman" w:hAnsi="Times New Roman"/>
                <w:sz w:val="20"/>
                <w:szCs w:val="20"/>
              </w:rPr>
              <w:t>(</w:t>
            </w:r>
            <w:r w:rsidR="00255EF1" w:rsidRPr="00F261C5">
              <w:rPr>
                <w:rFonts w:ascii="Times New Roman" w:hAnsi="Times New Roman"/>
                <w:sz w:val="20"/>
                <w:szCs w:val="20"/>
              </w:rPr>
              <w:t>2</w:t>
            </w:r>
            <w:r w:rsidRPr="00F261C5">
              <w:rPr>
                <w:rFonts w:ascii="Times New Roman" w:hAnsi="Times New Roman"/>
                <w:sz w:val="20"/>
                <w:szCs w:val="20"/>
              </w:rPr>
              <w:t>)</w:t>
            </w:r>
          </w:p>
        </w:tc>
        <w:tc>
          <w:tcPr>
            <w:tcW w:w="1310" w:type="dxa"/>
            <w:tcBorders>
              <w:top w:val="single" w:sz="4" w:space="0" w:color="auto"/>
              <w:bottom w:val="single" w:sz="4" w:space="0" w:color="auto"/>
            </w:tcBorders>
            <w:shd w:val="clear" w:color="auto" w:fill="auto"/>
          </w:tcPr>
          <w:p w:rsidR="00142850" w:rsidRPr="00F261C5" w:rsidRDefault="00142850" w:rsidP="00F261C5">
            <w:pPr>
              <w:jc w:val="center"/>
              <w:rPr>
                <w:rFonts w:ascii="Times New Roman" w:hAnsi="Times New Roman"/>
                <w:sz w:val="20"/>
                <w:szCs w:val="20"/>
              </w:rPr>
            </w:pPr>
            <w:r w:rsidRPr="00F261C5">
              <w:rPr>
                <w:rFonts w:ascii="Times New Roman" w:hAnsi="Times New Roman"/>
                <w:sz w:val="20"/>
                <w:szCs w:val="20"/>
              </w:rPr>
              <w:t>(</w:t>
            </w:r>
            <w:r w:rsidR="00255EF1" w:rsidRPr="00F261C5">
              <w:rPr>
                <w:rFonts w:ascii="Times New Roman" w:hAnsi="Times New Roman"/>
                <w:sz w:val="20"/>
                <w:szCs w:val="20"/>
              </w:rPr>
              <w:t>3</w:t>
            </w:r>
            <w:r w:rsidRPr="00F261C5">
              <w:rPr>
                <w:rFonts w:ascii="Times New Roman" w:hAnsi="Times New Roman"/>
                <w:sz w:val="20"/>
                <w:szCs w:val="20"/>
              </w:rPr>
              <w:t>)</w:t>
            </w:r>
          </w:p>
        </w:tc>
      </w:tr>
      <w:tr w:rsidR="00255EF1" w:rsidRPr="00F261C5" w:rsidTr="00F261C5">
        <w:trPr>
          <w:jc w:val="center"/>
        </w:trPr>
        <w:tc>
          <w:tcPr>
            <w:tcW w:w="1905" w:type="dxa"/>
            <w:tcBorders>
              <w:top w:val="single" w:sz="4" w:space="0" w:color="auto"/>
            </w:tcBorders>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LEED Certified</w:t>
            </w:r>
          </w:p>
        </w:tc>
        <w:tc>
          <w:tcPr>
            <w:tcW w:w="1310" w:type="dxa"/>
            <w:tcBorders>
              <w:top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tcBorders>
              <w:top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0.071***</w:t>
            </w:r>
          </w:p>
        </w:tc>
        <w:tc>
          <w:tcPr>
            <w:tcW w:w="1310" w:type="dxa"/>
            <w:tcBorders>
              <w:top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0.052**</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[0.023]</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[0.023]</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Energy Star</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0.056***</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[0.020]</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Building Class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Class A</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0.115***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0.110***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0.101***</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[0.022]</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Building Size</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-0.024</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-0.032</w:t>
            </w:r>
          </w:p>
        </w:tc>
      </w:tr>
      <w:tr w:rsidR="00255EF1" w:rsidRPr="00F261C5" w:rsidTr="00F261C5">
        <w:trPr>
          <w:jc w:val="center"/>
        </w:trPr>
        <w:tc>
          <w:tcPr>
            <w:tcW w:w="1905" w:type="dxa"/>
            <w:shd w:val="clear" w:color="auto" w:fill="auto"/>
          </w:tcPr>
          <w:p w:rsidR="00255EF1" w:rsidRPr="00F261C5" w:rsidRDefault="00255EF1" w:rsidP="00F261C5">
            <w:pPr>
              <w:ind w:left="200"/>
              <w:rPr>
                <w:rFonts w:ascii="Times New Roman" w:hAnsi="Times New Roman"/>
                <w:sz w:val="20"/>
                <w:szCs w:val="20"/>
              </w:rPr>
            </w:pPr>
            <w:r w:rsidRPr="00F261C5">
              <w:rPr>
                <w:rFonts w:ascii="Times New Roman" w:hAnsi="Times New Roman"/>
                <w:sz w:val="20"/>
                <w:szCs w:val="20"/>
              </w:rPr>
              <w:t>(log)</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[0.020]</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Typical Floor Area</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0.034*</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0.037*</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(log)</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[0.019]</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[0.019]</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Age</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0.002</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(years)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[0.001]</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Age</w:t>
            </w:r>
            <w:r w:rsidRPr="00F261C5">
              <w:rPr>
                <w:rFonts w:ascii="Times New Roman" w:hAnsi="Times New Roman"/>
                <w:sz w:val="20"/>
                <w:szCs w:val="20"/>
                <w:vertAlign w:val="superscript"/>
              </w:rPr>
              <w:t>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(years)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Distance to Transit</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-0.112***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-0.110***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-0.106***</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(miles)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[0.015]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[0.015]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[0.015]</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City-Fixed Effects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Y</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Y</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Y</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Constant</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2.941***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2.887***</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2.932***</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[0.279]</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[0.278]</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[0.277]</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Observations</w:t>
            </w:r>
          </w:p>
        </w:tc>
        <w:tc>
          <w:tcPr>
            <w:tcW w:w="1310" w:type="dxa"/>
            <w:shd w:val="clear" w:color="auto" w:fill="auto"/>
          </w:tcPr>
          <w:p w:rsidR="00255EF1" w:rsidRPr="00F261C5" w:rsidRDefault="00992429" w:rsidP="00F261C5">
            <w:pPr>
              <w:tabs>
                <w:tab w:val="decimal" w:pos="288"/>
              </w:tabs>
              <w:rPr>
                <w:rFonts w:ascii="Times New Roman" w:hAnsi="Times New Roman"/>
                <w:sz w:val="20"/>
                <w:szCs w:val="20"/>
              </w:rPr>
            </w:pPr>
            <w:r w:rsidRPr="00F261C5">
              <w:rPr>
                <w:rFonts w:ascii="Times New Roman" w:hAnsi="Times New Roman"/>
                <w:sz w:val="20"/>
                <w:szCs w:val="20"/>
              </w:rPr>
              <w:t xml:space="preserve">      970</w:t>
            </w:r>
          </w:p>
        </w:tc>
        <w:tc>
          <w:tcPr>
            <w:tcW w:w="1310" w:type="dxa"/>
            <w:shd w:val="clear" w:color="auto" w:fill="auto"/>
          </w:tcPr>
          <w:p w:rsidR="00255EF1" w:rsidRPr="00F261C5" w:rsidRDefault="00992429" w:rsidP="00F261C5">
            <w:pPr>
              <w:tabs>
                <w:tab w:val="decimal" w:pos="288"/>
              </w:tabs>
              <w:rPr>
                <w:rFonts w:ascii="Times New Roman" w:hAnsi="Times New Roman"/>
                <w:sz w:val="20"/>
                <w:szCs w:val="20"/>
              </w:rPr>
            </w:pPr>
            <w:r w:rsidRPr="00F261C5">
              <w:rPr>
                <w:rFonts w:ascii="Times New Roman" w:hAnsi="Times New Roman"/>
                <w:sz w:val="20"/>
                <w:szCs w:val="20"/>
              </w:rPr>
              <w:t xml:space="preserve">      970</w:t>
            </w:r>
          </w:p>
        </w:tc>
        <w:tc>
          <w:tcPr>
            <w:tcW w:w="1310" w:type="dxa"/>
            <w:shd w:val="clear" w:color="auto" w:fill="auto"/>
          </w:tcPr>
          <w:p w:rsidR="00255EF1" w:rsidRPr="00F261C5" w:rsidRDefault="00992429" w:rsidP="00F261C5">
            <w:pPr>
              <w:tabs>
                <w:tab w:val="decimal" w:pos="288"/>
              </w:tabs>
              <w:rPr>
                <w:rFonts w:ascii="Times New Roman" w:hAnsi="Times New Roman"/>
                <w:sz w:val="20"/>
                <w:szCs w:val="20"/>
              </w:rPr>
            </w:pPr>
            <w:r w:rsidRPr="00F261C5">
              <w:rPr>
                <w:rFonts w:ascii="Times New Roman" w:hAnsi="Times New Roman"/>
                <w:sz w:val="20"/>
                <w:szCs w:val="20"/>
              </w:rPr>
              <w:t xml:space="preserve">      970</w:t>
            </w:r>
          </w:p>
        </w:tc>
      </w:tr>
      <w:tr w:rsidR="00255EF1" w:rsidRPr="00F261C5" w:rsidTr="00F261C5">
        <w:trPr>
          <w:jc w:val="center"/>
        </w:trPr>
        <w:tc>
          <w:tcPr>
            <w:tcW w:w="1905" w:type="dxa"/>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R-squared</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0.636</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0.640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0.643</w:t>
            </w:r>
          </w:p>
        </w:tc>
      </w:tr>
      <w:tr w:rsidR="00255EF1" w:rsidRPr="00F261C5" w:rsidTr="00F261C5">
        <w:trPr>
          <w:jc w:val="center"/>
        </w:trPr>
        <w:tc>
          <w:tcPr>
            <w:tcW w:w="1905" w:type="dxa"/>
            <w:tcBorders>
              <w:bottom w:val="single" w:sz="4" w:space="0" w:color="auto"/>
            </w:tcBorders>
            <w:shd w:val="clear" w:color="auto" w:fill="auto"/>
          </w:tcPr>
          <w:p w:rsidR="00255EF1" w:rsidRPr="00F261C5" w:rsidRDefault="00255EF1" w:rsidP="00AA7DC2">
            <w:pPr>
              <w:rPr>
                <w:rFonts w:ascii="Times New Roman" w:hAnsi="Times New Roman"/>
                <w:sz w:val="20"/>
                <w:szCs w:val="20"/>
              </w:rPr>
            </w:pPr>
            <w:r w:rsidRPr="00F261C5">
              <w:rPr>
                <w:rFonts w:ascii="Times New Roman" w:hAnsi="Times New Roman"/>
                <w:sz w:val="20"/>
                <w:szCs w:val="20"/>
              </w:rPr>
              <w:t>Adj R</w:t>
            </w:r>
            <w:r w:rsidRPr="00F261C5">
              <w:rPr>
                <w:rFonts w:ascii="Times New Roman" w:hAnsi="Times New Roman"/>
                <w:sz w:val="20"/>
                <w:szCs w:val="20"/>
                <w:vertAlign w:val="superscript"/>
              </w:rPr>
              <w:t>2</w:t>
            </w:r>
          </w:p>
        </w:tc>
        <w:tc>
          <w:tcPr>
            <w:tcW w:w="1310" w:type="dxa"/>
            <w:tcBorders>
              <w:bottom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0.629</w:t>
            </w:r>
          </w:p>
        </w:tc>
        <w:tc>
          <w:tcPr>
            <w:tcW w:w="1310" w:type="dxa"/>
            <w:tcBorders>
              <w:bottom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0.632</w:t>
            </w:r>
          </w:p>
        </w:tc>
        <w:tc>
          <w:tcPr>
            <w:tcW w:w="1310" w:type="dxa"/>
            <w:tcBorders>
              <w:bottom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0.635</w:t>
            </w:r>
          </w:p>
        </w:tc>
      </w:tr>
    </w:tbl>
    <w:p w:rsidR="005A6B23" w:rsidRDefault="005A6B23" w:rsidP="00255EF1">
      <w:pPr>
        <w:ind w:left="1440"/>
        <w:rPr>
          <w:rFonts w:ascii="Times New Roman" w:hAnsi="Times New Roman"/>
          <w:sz w:val="20"/>
          <w:szCs w:val="20"/>
        </w:rPr>
      </w:pPr>
    </w:p>
    <w:p w:rsidR="00AA7DC2" w:rsidRPr="001823D0" w:rsidRDefault="00AA7DC2" w:rsidP="00255EF1">
      <w:pPr>
        <w:ind w:left="1440"/>
        <w:rPr>
          <w:rFonts w:ascii="Times New Roman" w:hAnsi="Times New Roman"/>
          <w:sz w:val="20"/>
          <w:szCs w:val="20"/>
        </w:rPr>
      </w:pPr>
      <w:r w:rsidRPr="001823D0">
        <w:rPr>
          <w:rFonts w:ascii="Times New Roman" w:hAnsi="Times New Roman"/>
          <w:sz w:val="20"/>
          <w:szCs w:val="20"/>
        </w:rPr>
        <w:t>Standard errors in brackets</w:t>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p>
    <w:p w:rsidR="00AA7DC2" w:rsidRPr="001823D0" w:rsidRDefault="00AA7DC2" w:rsidP="00255EF1">
      <w:pPr>
        <w:ind w:left="1440"/>
        <w:rPr>
          <w:rFonts w:ascii="Times New Roman" w:hAnsi="Times New Roman"/>
          <w:sz w:val="20"/>
          <w:szCs w:val="20"/>
        </w:rPr>
      </w:pPr>
      <w:r w:rsidRPr="001823D0">
        <w:rPr>
          <w:rFonts w:ascii="Times New Roman" w:hAnsi="Times New Roman"/>
          <w:sz w:val="20"/>
          <w:szCs w:val="20"/>
        </w:rPr>
        <w:t>*** p&lt;0.01, ** p&lt;0.05, * p&lt;0.1</w:t>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p>
    <w:p w:rsidR="0041661B" w:rsidRDefault="0041661B" w:rsidP="00665605">
      <w:pPr>
        <w:jc w:val="center"/>
        <w:rPr>
          <w:rFonts w:ascii="Times New Roman" w:hAnsi="Times New Roman"/>
        </w:rPr>
      </w:pPr>
    </w:p>
    <w:p w:rsidR="0041661B" w:rsidRDefault="0041661B" w:rsidP="00665605">
      <w:pPr>
        <w:jc w:val="center"/>
        <w:rPr>
          <w:rFonts w:ascii="Times New Roman" w:hAnsi="Times New Roman"/>
        </w:rPr>
      </w:pPr>
    </w:p>
    <w:p w:rsidR="0041661B" w:rsidRDefault="0041661B" w:rsidP="00665605">
      <w:pPr>
        <w:jc w:val="center"/>
        <w:rPr>
          <w:rFonts w:ascii="Times New Roman" w:hAnsi="Times New Roman"/>
        </w:rPr>
      </w:pPr>
    </w:p>
    <w:p w:rsidR="00665605" w:rsidRDefault="00AA7DC2" w:rsidP="00665605">
      <w:pPr>
        <w:jc w:val="center"/>
        <w:rPr>
          <w:rFonts w:ascii="Times New Roman" w:hAnsi="Times New Roman"/>
          <w:b/>
        </w:rPr>
      </w:pPr>
      <w:r w:rsidRPr="001823D0">
        <w:rPr>
          <w:rFonts w:ascii="Times New Roman" w:hAnsi="Times New Roman"/>
        </w:rPr>
        <w:br w:type="page"/>
      </w:r>
      <w:r w:rsidR="005A6B23">
        <w:rPr>
          <w:rFonts w:ascii="Times New Roman" w:hAnsi="Times New Roman"/>
          <w:b/>
        </w:rPr>
        <w:t>Exhibit 10</w:t>
      </w:r>
    </w:p>
    <w:p w:rsidR="005A6B23" w:rsidRPr="001823D0" w:rsidRDefault="005A6B23" w:rsidP="00665605">
      <w:pPr>
        <w:jc w:val="center"/>
        <w:rPr>
          <w:rFonts w:ascii="Times New Roman" w:hAnsi="Times New Roman"/>
          <w:b/>
        </w:rPr>
      </w:pPr>
      <w:r>
        <w:rPr>
          <w:rFonts w:ascii="Times New Roman" w:hAnsi="Times New Roman"/>
          <w:b/>
        </w:rPr>
        <w:t>Regression Results</w:t>
      </w:r>
    </w:p>
    <w:p w:rsidR="00665605" w:rsidRPr="001823D0" w:rsidRDefault="00665605" w:rsidP="00665605">
      <w:pPr>
        <w:jc w:val="center"/>
        <w:rPr>
          <w:rFonts w:ascii="Times New Roman" w:hAnsi="Times New Roman"/>
          <w:b/>
        </w:rPr>
      </w:pPr>
      <w:r w:rsidRPr="001823D0">
        <w:rPr>
          <w:rFonts w:ascii="Times New Roman" w:hAnsi="Times New Roman"/>
          <w:b/>
        </w:rPr>
        <w:t>Green Ratings and Effective Rents</w:t>
      </w:r>
    </w:p>
    <w:p w:rsidR="00AA7DC2" w:rsidRPr="001823D0" w:rsidRDefault="00AA7DC2" w:rsidP="00AA7DC2">
      <w:pPr>
        <w:rPr>
          <w:rFonts w:ascii="Times New Roman" w:hAnsi="Times New Roman"/>
        </w:rPr>
      </w:pPr>
    </w:p>
    <w:tbl>
      <w:tblPr>
        <w:tblW w:w="5835" w:type="dxa"/>
        <w:jc w:val="center"/>
        <w:tblLook w:val="04A0" w:firstRow="1" w:lastRow="0" w:firstColumn="1" w:lastColumn="0" w:noHBand="0" w:noVBand="1"/>
      </w:tblPr>
      <w:tblGrid>
        <w:gridCol w:w="1905"/>
        <w:gridCol w:w="1310"/>
        <w:gridCol w:w="1310"/>
        <w:gridCol w:w="1310"/>
      </w:tblGrid>
      <w:tr w:rsidR="00255EF1" w:rsidRPr="00F261C5" w:rsidTr="00F261C5">
        <w:trPr>
          <w:jc w:val="center"/>
        </w:trPr>
        <w:tc>
          <w:tcPr>
            <w:tcW w:w="1905" w:type="dxa"/>
            <w:tcBorders>
              <w:top w:val="single" w:sz="4" w:space="0" w:color="auto"/>
              <w:bottom w:val="single" w:sz="4" w:space="0" w:color="auto"/>
            </w:tcBorders>
            <w:shd w:val="clear" w:color="auto" w:fill="auto"/>
          </w:tcPr>
          <w:p w:rsidR="00255EF1" w:rsidRPr="00F261C5" w:rsidRDefault="00255EF1" w:rsidP="00255EF1">
            <w:pPr>
              <w:rPr>
                <w:rFonts w:ascii="Times New Roman" w:hAnsi="Times New Roman"/>
                <w:sz w:val="20"/>
                <w:szCs w:val="20"/>
              </w:rPr>
            </w:pPr>
          </w:p>
        </w:tc>
        <w:tc>
          <w:tcPr>
            <w:tcW w:w="1310" w:type="dxa"/>
            <w:tcBorders>
              <w:top w:val="single" w:sz="4" w:space="0" w:color="auto"/>
              <w:bottom w:val="single" w:sz="4" w:space="0" w:color="auto"/>
            </w:tcBorders>
            <w:shd w:val="clear" w:color="auto" w:fill="auto"/>
          </w:tcPr>
          <w:p w:rsidR="00255EF1" w:rsidRPr="00F261C5" w:rsidRDefault="00255EF1" w:rsidP="00F261C5">
            <w:pPr>
              <w:jc w:val="center"/>
              <w:rPr>
                <w:rFonts w:ascii="Times New Roman" w:hAnsi="Times New Roman"/>
                <w:sz w:val="20"/>
                <w:szCs w:val="20"/>
              </w:rPr>
            </w:pPr>
            <w:r w:rsidRPr="00F261C5">
              <w:rPr>
                <w:rFonts w:ascii="Times New Roman" w:hAnsi="Times New Roman"/>
                <w:sz w:val="20"/>
                <w:szCs w:val="20"/>
              </w:rPr>
              <w:t>(1)</w:t>
            </w:r>
          </w:p>
        </w:tc>
        <w:tc>
          <w:tcPr>
            <w:tcW w:w="1310" w:type="dxa"/>
            <w:tcBorders>
              <w:top w:val="single" w:sz="4" w:space="0" w:color="auto"/>
              <w:bottom w:val="single" w:sz="4" w:space="0" w:color="auto"/>
            </w:tcBorders>
            <w:shd w:val="clear" w:color="auto" w:fill="auto"/>
          </w:tcPr>
          <w:p w:rsidR="00255EF1" w:rsidRPr="00F261C5" w:rsidRDefault="00255EF1" w:rsidP="00F261C5">
            <w:pPr>
              <w:jc w:val="center"/>
              <w:rPr>
                <w:rFonts w:ascii="Times New Roman" w:hAnsi="Times New Roman"/>
                <w:sz w:val="20"/>
                <w:szCs w:val="20"/>
              </w:rPr>
            </w:pPr>
            <w:r w:rsidRPr="00F261C5">
              <w:rPr>
                <w:rFonts w:ascii="Times New Roman" w:hAnsi="Times New Roman"/>
                <w:sz w:val="20"/>
                <w:szCs w:val="20"/>
              </w:rPr>
              <w:t>(2)</w:t>
            </w:r>
          </w:p>
        </w:tc>
        <w:tc>
          <w:tcPr>
            <w:tcW w:w="1310" w:type="dxa"/>
            <w:tcBorders>
              <w:top w:val="single" w:sz="4" w:space="0" w:color="auto"/>
              <w:bottom w:val="single" w:sz="4" w:space="0" w:color="auto"/>
            </w:tcBorders>
            <w:shd w:val="clear" w:color="auto" w:fill="auto"/>
          </w:tcPr>
          <w:p w:rsidR="00255EF1" w:rsidRPr="00F261C5" w:rsidRDefault="00255EF1" w:rsidP="00F261C5">
            <w:pPr>
              <w:jc w:val="center"/>
              <w:rPr>
                <w:rFonts w:ascii="Times New Roman" w:hAnsi="Times New Roman"/>
                <w:sz w:val="20"/>
                <w:szCs w:val="20"/>
              </w:rPr>
            </w:pPr>
            <w:r w:rsidRPr="00F261C5">
              <w:rPr>
                <w:rFonts w:ascii="Times New Roman" w:hAnsi="Times New Roman"/>
                <w:sz w:val="20"/>
                <w:szCs w:val="20"/>
              </w:rPr>
              <w:t>(3)</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LEED Certified</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0.091***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0.058</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[0.037]</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Energy Star</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0.098***</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[0.031]</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Building Class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Class A</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0.155***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0.147***</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0.132***</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(1 = yes)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[0.034]</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[0.034]</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[0.034]</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Building Size</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0.033</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0.019</w:t>
            </w:r>
          </w:p>
        </w:tc>
      </w:tr>
      <w:tr w:rsidR="00255EF1" w:rsidRPr="00F261C5" w:rsidTr="00F261C5">
        <w:trPr>
          <w:jc w:val="center"/>
        </w:trPr>
        <w:tc>
          <w:tcPr>
            <w:tcW w:w="1905" w:type="dxa"/>
            <w:shd w:val="clear" w:color="auto" w:fill="auto"/>
          </w:tcPr>
          <w:p w:rsidR="00255EF1" w:rsidRPr="00F261C5" w:rsidRDefault="00255EF1" w:rsidP="00F261C5">
            <w:pPr>
              <w:ind w:left="200"/>
              <w:rPr>
                <w:rFonts w:ascii="Times New Roman" w:hAnsi="Times New Roman"/>
                <w:sz w:val="20"/>
                <w:szCs w:val="20"/>
              </w:rPr>
            </w:pPr>
            <w:r w:rsidRPr="00F261C5">
              <w:rPr>
                <w:rFonts w:ascii="Times New Roman" w:hAnsi="Times New Roman"/>
                <w:sz w:val="20"/>
                <w:szCs w:val="20"/>
              </w:rPr>
              <w:t>(log)</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[0.032]</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Typical Floor Area</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0.033</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0.038</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0.044</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(log)</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[0.030]</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Age</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0.007***</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0.007***</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0.007***</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(years)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[0.002]</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Age</w:t>
            </w:r>
            <w:r w:rsidRPr="00F261C5">
              <w:rPr>
                <w:rFonts w:ascii="Times New Roman" w:hAnsi="Times New Roman"/>
                <w:sz w:val="20"/>
                <w:szCs w:val="20"/>
                <w:vertAlign w:val="superscript"/>
              </w:rPr>
              <w:t>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(years)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[0.000]</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Distance to Transit</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-0.135***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-0.132***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-0.126***</w:t>
            </w:r>
          </w:p>
        </w:tc>
      </w:tr>
      <w:tr w:rsidR="00255EF1" w:rsidRPr="00F261C5" w:rsidTr="00F261C5">
        <w:trPr>
          <w:jc w:val="center"/>
        </w:trPr>
        <w:tc>
          <w:tcPr>
            <w:tcW w:w="1905" w:type="dxa"/>
            <w:shd w:val="clear" w:color="auto" w:fill="auto"/>
          </w:tcPr>
          <w:p w:rsidR="00255EF1" w:rsidRPr="00F261C5" w:rsidRDefault="00255EF1" w:rsidP="00F261C5">
            <w:pPr>
              <w:ind w:left="180"/>
              <w:rPr>
                <w:rFonts w:ascii="Times New Roman" w:hAnsi="Times New Roman"/>
                <w:sz w:val="20"/>
                <w:szCs w:val="20"/>
              </w:rPr>
            </w:pPr>
            <w:r w:rsidRPr="00F261C5">
              <w:rPr>
                <w:rFonts w:ascii="Times New Roman" w:hAnsi="Times New Roman"/>
                <w:sz w:val="20"/>
                <w:szCs w:val="20"/>
              </w:rPr>
              <w:t>(miles)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[0.023]</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[0.023]</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[0.023]</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Constant</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1.907***</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1.839***</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1.915***</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[0.436]</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[0.435]</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[0.434]</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City-Fixed Effects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Y</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Y</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Y</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Observations</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952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952</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952</w:t>
            </w:r>
          </w:p>
        </w:tc>
      </w:tr>
      <w:tr w:rsidR="00255EF1" w:rsidRPr="00F261C5" w:rsidTr="00F261C5">
        <w:trPr>
          <w:jc w:val="center"/>
        </w:trPr>
        <w:tc>
          <w:tcPr>
            <w:tcW w:w="1905" w:type="dxa"/>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R-squared</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0.487</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0.491</w:t>
            </w:r>
          </w:p>
        </w:tc>
        <w:tc>
          <w:tcPr>
            <w:tcW w:w="1310" w:type="dxa"/>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0.496</w:t>
            </w:r>
          </w:p>
        </w:tc>
      </w:tr>
      <w:tr w:rsidR="00255EF1" w:rsidRPr="00F261C5" w:rsidTr="00F261C5">
        <w:trPr>
          <w:jc w:val="center"/>
        </w:trPr>
        <w:tc>
          <w:tcPr>
            <w:tcW w:w="1905" w:type="dxa"/>
            <w:tcBorders>
              <w:bottom w:val="single" w:sz="4" w:space="0" w:color="auto"/>
            </w:tcBorders>
            <w:shd w:val="clear" w:color="auto" w:fill="auto"/>
          </w:tcPr>
          <w:p w:rsidR="00255EF1" w:rsidRPr="00F261C5" w:rsidRDefault="00255EF1" w:rsidP="00255EF1">
            <w:pPr>
              <w:rPr>
                <w:rFonts w:ascii="Times New Roman" w:hAnsi="Times New Roman"/>
                <w:sz w:val="20"/>
                <w:szCs w:val="20"/>
              </w:rPr>
            </w:pPr>
            <w:r w:rsidRPr="00F261C5">
              <w:rPr>
                <w:rFonts w:ascii="Times New Roman" w:hAnsi="Times New Roman"/>
                <w:sz w:val="20"/>
                <w:szCs w:val="20"/>
              </w:rPr>
              <w:t>Adj R</w:t>
            </w:r>
            <w:r w:rsidRPr="00F261C5">
              <w:rPr>
                <w:rFonts w:ascii="Times New Roman" w:hAnsi="Times New Roman"/>
                <w:sz w:val="20"/>
                <w:szCs w:val="20"/>
                <w:vertAlign w:val="superscript"/>
              </w:rPr>
              <w:t>2</w:t>
            </w:r>
          </w:p>
        </w:tc>
        <w:tc>
          <w:tcPr>
            <w:tcW w:w="1310" w:type="dxa"/>
            <w:tcBorders>
              <w:bottom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0.477</w:t>
            </w:r>
          </w:p>
        </w:tc>
        <w:tc>
          <w:tcPr>
            <w:tcW w:w="1310" w:type="dxa"/>
            <w:tcBorders>
              <w:bottom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0.480</w:t>
            </w:r>
          </w:p>
        </w:tc>
        <w:tc>
          <w:tcPr>
            <w:tcW w:w="1310" w:type="dxa"/>
            <w:tcBorders>
              <w:bottom w:val="single" w:sz="4" w:space="0" w:color="auto"/>
            </w:tcBorders>
            <w:shd w:val="clear" w:color="auto" w:fill="auto"/>
          </w:tcPr>
          <w:p w:rsidR="00255EF1" w:rsidRPr="00F261C5" w:rsidRDefault="00255EF1" w:rsidP="00F261C5">
            <w:pPr>
              <w:tabs>
                <w:tab w:val="decimal" w:pos="288"/>
              </w:tabs>
              <w:rPr>
                <w:rFonts w:ascii="Times New Roman" w:hAnsi="Times New Roman"/>
                <w:sz w:val="20"/>
                <w:szCs w:val="20"/>
              </w:rPr>
            </w:pPr>
            <w:r w:rsidRPr="00F261C5">
              <w:rPr>
                <w:rFonts w:ascii="Times New Roman" w:hAnsi="Times New Roman"/>
                <w:sz w:val="20"/>
                <w:szCs w:val="20"/>
              </w:rPr>
              <w:t>0.485</w:t>
            </w:r>
          </w:p>
        </w:tc>
      </w:tr>
    </w:tbl>
    <w:p w:rsidR="005A6B23" w:rsidRDefault="005A6B23" w:rsidP="00665605">
      <w:pPr>
        <w:ind w:left="900"/>
        <w:rPr>
          <w:rFonts w:ascii="Times New Roman" w:hAnsi="Times New Roman"/>
          <w:sz w:val="20"/>
          <w:szCs w:val="20"/>
        </w:rPr>
      </w:pPr>
    </w:p>
    <w:p w:rsidR="00AA7DC2" w:rsidRPr="001823D0" w:rsidRDefault="00AA7DC2" w:rsidP="00665605">
      <w:pPr>
        <w:ind w:left="900"/>
        <w:rPr>
          <w:rFonts w:ascii="Times New Roman" w:hAnsi="Times New Roman"/>
          <w:sz w:val="20"/>
          <w:szCs w:val="20"/>
        </w:rPr>
      </w:pPr>
      <w:r w:rsidRPr="001823D0">
        <w:rPr>
          <w:rFonts w:ascii="Times New Roman" w:hAnsi="Times New Roman"/>
          <w:sz w:val="20"/>
          <w:szCs w:val="20"/>
        </w:rPr>
        <w:t>Standard errors in brackets</w:t>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p>
    <w:p w:rsidR="00AA7DC2" w:rsidRPr="001823D0" w:rsidRDefault="00AA7DC2" w:rsidP="00665605">
      <w:pPr>
        <w:ind w:left="900"/>
        <w:rPr>
          <w:rFonts w:ascii="Times New Roman" w:hAnsi="Times New Roman"/>
          <w:sz w:val="20"/>
          <w:szCs w:val="20"/>
        </w:rPr>
      </w:pPr>
      <w:r w:rsidRPr="001823D0">
        <w:rPr>
          <w:rFonts w:ascii="Times New Roman" w:hAnsi="Times New Roman"/>
          <w:sz w:val="20"/>
          <w:szCs w:val="20"/>
        </w:rPr>
        <w:t>*** p&lt;0.01, ** p&lt;0.05, * p&lt;0.1</w:t>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r w:rsidRPr="001823D0">
        <w:rPr>
          <w:rFonts w:ascii="Times New Roman" w:hAnsi="Times New Roman"/>
          <w:sz w:val="20"/>
          <w:szCs w:val="20"/>
        </w:rPr>
        <w:tab/>
      </w:r>
    </w:p>
    <w:p w:rsidR="00C61FB7" w:rsidRPr="001823D0" w:rsidRDefault="00C61FB7">
      <w:pPr>
        <w:rPr>
          <w:rFonts w:ascii="Times New Roman" w:hAnsi="Times New Roman"/>
        </w:rPr>
      </w:pPr>
    </w:p>
    <w:p w:rsidR="00255EF1" w:rsidRPr="001823D0" w:rsidRDefault="00255EF1">
      <w:pPr>
        <w:rPr>
          <w:rFonts w:ascii="Times New Roman" w:hAnsi="Times New Roman"/>
        </w:rPr>
      </w:pPr>
    </w:p>
    <w:p w:rsidR="00AB3AC8" w:rsidRDefault="00AB3AC8">
      <w:pPr>
        <w:rPr>
          <w:rFonts w:ascii="Times New Roman" w:hAnsi="Times New Roman"/>
        </w:rPr>
      </w:pPr>
      <w:r>
        <w:rPr>
          <w:rFonts w:ascii="Times New Roman" w:hAnsi="Times New Roman"/>
        </w:rPr>
        <w:br w:type="page"/>
      </w:r>
    </w:p>
    <w:p w:rsidR="00B83F87" w:rsidRDefault="00B83F87">
      <w:pPr>
        <w:rPr>
          <w:rFonts w:ascii="Times New Roman" w:hAnsi="Times New Roman"/>
          <w:b/>
        </w:rPr>
      </w:pPr>
    </w:p>
    <w:p w:rsidR="005A6B23" w:rsidRDefault="005A6B23" w:rsidP="005936D7">
      <w:pPr>
        <w:jc w:val="center"/>
        <w:rPr>
          <w:rFonts w:ascii="Times New Roman" w:hAnsi="Times New Roman"/>
          <w:b/>
        </w:rPr>
      </w:pPr>
      <w:r>
        <w:rPr>
          <w:rFonts w:ascii="Times New Roman" w:hAnsi="Times New Roman"/>
          <w:b/>
        </w:rPr>
        <w:t>Exhibit 11</w:t>
      </w:r>
    </w:p>
    <w:p w:rsidR="005A6B23" w:rsidRDefault="005A6B23" w:rsidP="005936D7">
      <w:pPr>
        <w:jc w:val="center"/>
        <w:rPr>
          <w:rFonts w:ascii="Times New Roman" w:hAnsi="Times New Roman"/>
          <w:b/>
        </w:rPr>
      </w:pPr>
      <w:r>
        <w:rPr>
          <w:rFonts w:ascii="Times New Roman" w:hAnsi="Times New Roman"/>
          <w:b/>
        </w:rPr>
        <w:t>Energy Reduction Strategies and Costs</w:t>
      </w:r>
    </w:p>
    <w:p w:rsidR="005A6B23" w:rsidRPr="00697D4B" w:rsidRDefault="005A6B23" w:rsidP="005936D7">
      <w:pPr>
        <w:jc w:val="center"/>
        <w:rPr>
          <w:rFonts w:ascii="Times New Roman" w:hAnsi="Times New Roman"/>
          <w:b/>
          <w:sz w:val="22"/>
        </w:rPr>
      </w:pPr>
      <w:r w:rsidRPr="00697D4B">
        <w:rPr>
          <w:rFonts w:ascii="Times New Roman" w:hAnsi="Times New Roman"/>
          <w:b/>
          <w:sz w:val="22"/>
        </w:rPr>
        <w:t>(</w:t>
      </w:r>
      <w:hyperlink r:id="rId20" w:history="1">
        <w:r w:rsidR="00697D4B" w:rsidRPr="00697D4B">
          <w:rPr>
            <w:rStyle w:val="Hyperlink"/>
            <w:rFonts w:ascii="Times New Roman" w:hAnsi="Times New Roman"/>
            <w:b/>
            <w:sz w:val="22"/>
          </w:rPr>
          <w:t>www.DavisLangdon.com</w:t>
        </w:r>
      </w:hyperlink>
      <w:r w:rsidR="00697D4B" w:rsidRPr="00697D4B">
        <w:rPr>
          <w:rFonts w:ascii="Times New Roman" w:hAnsi="Times New Roman"/>
          <w:b/>
          <w:sz w:val="22"/>
        </w:rPr>
        <w:t xml:space="preserve"> </w:t>
      </w:r>
      <w:r w:rsidR="002A5760">
        <w:rPr>
          <w:rFonts w:ascii="Times New Roman" w:hAnsi="Times New Roman"/>
          <w:b/>
          <w:sz w:val="22"/>
        </w:rPr>
        <w:t xml:space="preserve">-- </w:t>
      </w:r>
      <w:r w:rsidR="00697D4B" w:rsidRPr="00697D4B">
        <w:rPr>
          <w:rFonts w:ascii="Times New Roman" w:hAnsi="Times New Roman"/>
          <w:b/>
          <w:sz w:val="22"/>
        </w:rPr>
        <w:t>see research reports</w:t>
      </w:r>
      <w:r w:rsidRPr="00697D4B">
        <w:rPr>
          <w:rFonts w:ascii="Times New Roman" w:hAnsi="Times New Roman"/>
          <w:b/>
          <w:sz w:val="22"/>
        </w:rPr>
        <w:t>)</w:t>
      </w:r>
      <w:r w:rsidR="00904411" w:rsidRPr="00697D4B">
        <w:rPr>
          <w:rFonts w:ascii="Times New Roman" w:hAnsi="Times New Roman"/>
          <w:b/>
          <w:sz w:val="22"/>
        </w:rPr>
        <w:t xml:space="preserve"> </w:t>
      </w:r>
    </w:p>
    <w:p w:rsidR="005A6B23" w:rsidRDefault="005A6B23" w:rsidP="005936D7">
      <w:pPr>
        <w:jc w:val="center"/>
        <w:rPr>
          <w:rFonts w:ascii="Times New Roman" w:hAnsi="Times New Roman"/>
          <w:b/>
        </w:rPr>
      </w:pPr>
    </w:p>
    <w:p w:rsidR="00761F1E" w:rsidRDefault="005A6B23" w:rsidP="005A6B23">
      <w:pPr>
        <w:rPr>
          <w:rFonts w:ascii="Times New Roman" w:hAnsi="Times New Roman"/>
          <w:b/>
        </w:rPr>
      </w:pPr>
      <w:r>
        <w:rPr>
          <w:rFonts w:ascii="Times New Roman" w:hAnsi="Times New Roman"/>
          <w:b/>
        </w:rPr>
        <w:t>Panel A. Energy Costs and Energy Star Scores</w:t>
      </w:r>
    </w:p>
    <w:p w:rsidR="00904411" w:rsidRDefault="00904411" w:rsidP="005936D7">
      <w:pPr>
        <w:jc w:val="center"/>
        <w:rPr>
          <w:rFonts w:ascii="Times New Roman" w:hAnsi="Times New Roman"/>
          <w:b/>
        </w:rPr>
      </w:pPr>
    </w:p>
    <w:p w:rsidR="00761F1E" w:rsidRDefault="007238DF" w:rsidP="005936D7">
      <w:pPr>
        <w:jc w:val="center"/>
        <w:rPr>
          <w:rFonts w:ascii="Times New Roman" w:hAnsi="Times New Roman"/>
          <w:b/>
        </w:rPr>
      </w:pPr>
      <w:r>
        <w:rPr>
          <w:noProof/>
        </w:rPr>
        <w:drawing>
          <wp:inline distT="0" distB="0" distL="0" distR="0" wp14:anchorId="2A0D2F9E" wp14:editId="56E890A5">
            <wp:extent cx="5486400" cy="368681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686810"/>
                    </a:xfrm>
                    <a:prstGeom prst="rect">
                      <a:avLst/>
                    </a:prstGeom>
                    <a:noFill/>
                    <a:ln>
                      <a:noFill/>
                    </a:ln>
                  </pic:spPr>
                </pic:pic>
              </a:graphicData>
            </a:graphic>
          </wp:inline>
        </w:drawing>
      </w:r>
    </w:p>
    <w:p w:rsidR="00761F1E" w:rsidRDefault="00761F1E" w:rsidP="005936D7">
      <w:pPr>
        <w:jc w:val="center"/>
        <w:rPr>
          <w:rFonts w:ascii="Times New Roman" w:hAnsi="Times New Roman"/>
          <w:b/>
        </w:rPr>
      </w:pPr>
    </w:p>
    <w:p w:rsidR="00A6461B" w:rsidRDefault="005A6B23" w:rsidP="00A6461B">
      <w:pPr>
        <w:rPr>
          <w:rFonts w:ascii="Times New Roman" w:hAnsi="Times New Roman"/>
          <w:b/>
        </w:rPr>
      </w:pPr>
      <w:r>
        <w:rPr>
          <w:rFonts w:ascii="Times New Roman" w:hAnsi="Times New Roman"/>
          <w:b/>
        </w:rPr>
        <w:t>Panel B. Reduction Strategies</w:t>
      </w:r>
    </w:p>
    <w:p w:rsidR="005A6B23" w:rsidRDefault="005A6B23" w:rsidP="00A6461B">
      <w:pPr>
        <w:rPr>
          <w:rFonts w:ascii="Times New Roman" w:hAnsi="Times New Roman"/>
          <w:b/>
        </w:rPr>
      </w:pPr>
    </w:p>
    <w:p w:rsidR="00A6461B" w:rsidRDefault="00A6461B" w:rsidP="005936D7">
      <w:pPr>
        <w:jc w:val="center"/>
        <w:rPr>
          <w:rFonts w:ascii="Times New Roman" w:hAnsi="Times New Roman"/>
          <w:b/>
        </w:rPr>
      </w:pPr>
    </w:p>
    <w:tbl>
      <w:tblPr>
        <w:tblW w:w="5835" w:type="dxa"/>
        <w:jc w:val="center"/>
        <w:tblLook w:val="04A0" w:firstRow="1" w:lastRow="0" w:firstColumn="1" w:lastColumn="0" w:noHBand="0" w:noVBand="1"/>
      </w:tblPr>
      <w:tblGrid>
        <w:gridCol w:w="2457"/>
        <w:gridCol w:w="1689"/>
        <w:gridCol w:w="1689"/>
      </w:tblGrid>
      <w:tr w:rsidR="00A6461B" w:rsidRPr="00A6461B" w:rsidTr="00A6461B">
        <w:trPr>
          <w:jc w:val="center"/>
        </w:trPr>
        <w:tc>
          <w:tcPr>
            <w:tcW w:w="2457" w:type="dxa"/>
            <w:tcBorders>
              <w:top w:val="single" w:sz="4" w:space="0" w:color="auto"/>
              <w:bottom w:val="single" w:sz="4" w:space="0" w:color="auto"/>
            </w:tcBorders>
            <w:shd w:val="clear" w:color="auto" w:fill="auto"/>
          </w:tcPr>
          <w:p w:rsidR="00A6461B" w:rsidRPr="00A6461B" w:rsidRDefault="00A6461B" w:rsidP="00A6461B">
            <w:pPr>
              <w:jc w:val="both"/>
              <w:rPr>
                <w:rFonts w:ascii="Times New Roman" w:eastAsia="Times New Roman" w:hAnsi="Times New Roman"/>
                <w:sz w:val="20"/>
                <w:szCs w:val="20"/>
                <w:u w:val="single"/>
              </w:rPr>
            </w:pPr>
            <w:r w:rsidRPr="00A6461B">
              <w:rPr>
                <w:rFonts w:ascii="Times New Roman" w:eastAsia="Times New Roman" w:hAnsi="Times New Roman"/>
                <w:sz w:val="20"/>
                <w:szCs w:val="20"/>
              </w:rPr>
              <w:t>Strategy</w:t>
            </w:r>
          </w:p>
        </w:tc>
        <w:tc>
          <w:tcPr>
            <w:tcW w:w="1689" w:type="dxa"/>
            <w:tcBorders>
              <w:top w:val="single" w:sz="4" w:space="0" w:color="auto"/>
              <w:bottom w:val="single" w:sz="4" w:space="0" w:color="auto"/>
            </w:tcBorders>
            <w:shd w:val="clear" w:color="auto" w:fill="auto"/>
          </w:tcPr>
          <w:p w:rsidR="00A6461B" w:rsidRPr="00A6461B" w:rsidRDefault="00A6461B" w:rsidP="00A6461B">
            <w:pPr>
              <w:jc w:val="both"/>
              <w:rPr>
                <w:rFonts w:ascii="Times New Roman" w:eastAsia="Times New Roman" w:hAnsi="Times New Roman"/>
                <w:sz w:val="20"/>
                <w:szCs w:val="20"/>
              </w:rPr>
            </w:pPr>
            <w:r w:rsidRPr="00A6461B">
              <w:rPr>
                <w:rFonts w:ascii="Times New Roman" w:eastAsia="Times New Roman" w:hAnsi="Times New Roman"/>
                <w:bCs/>
                <w:kern w:val="24"/>
                <w:sz w:val="20"/>
                <w:szCs w:val="20"/>
              </w:rPr>
              <w:t>KBtu/SF/Yr</w:t>
            </w:r>
          </w:p>
          <w:p w:rsidR="00A6461B" w:rsidRPr="00A6461B" w:rsidRDefault="00A6461B" w:rsidP="00A6461B">
            <w:pPr>
              <w:jc w:val="both"/>
              <w:rPr>
                <w:rFonts w:ascii="Times New Roman" w:eastAsia="Times New Roman" w:hAnsi="Times New Roman"/>
                <w:sz w:val="20"/>
                <w:szCs w:val="20"/>
              </w:rPr>
            </w:pPr>
            <w:r w:rsidRPr="00A6461B">
              <w:rPr>
                <w:rFonts w:ascii="Times New Roman" w:eastAsia="Times New Roman" w:hAnsi="Times New Roman"/>
                <w:bCs/>
                <w:kern w:val="24"/>
                <w:sz w:val="20"/>
                <w:szCs w:val="20"/>
              </w:rPr>
              <w:t>(Reduction)</w:t>
            </w:r>
          </w:p>
        </w:tc>
        <w:tc>
          <w:tcPr>
            <w:tcW w:w="1689" w:type="dxa"/>
            <w:tcBorders>
              <w:top w:val="single" w:sz="4" w:space="0" w:color="auto"/>
              <w:bottom w:val="single" w:sz="4" w:space="0" w:color="auto"/>
            </w:tcBorders>
            <w:shd w:val="clear" w:color="auto" w:fill="auto"/>
          </w:tcPr>
          <w:p w:rsidR="00A6461B" w:rsidRPr="00A6461B" w:rsidRDefault="00A6461B" w:rsidP="00A6461B">
            <w:pPr>
              <w:jc w:val="both"/>
              <w:rPr>
                <w:rFonts w:ascii="Times New Roman" w:eastAsia="Times New Roman" w:hAnsi="Times New Roman"/>
                <w:sz w:val="20"/>
                <w:szCs w:val="20"/>
              </w:rPr>
            </w:pPr>
            <w:r w:rsidRPr="00A6461B">
              <w:rPr>
                <w:rFonts w:ascii="Times New Roman" w:eastAsia="Times New Roman" w:hAnsi="Times New Roman"/>
                <w:bCs/>
                <w:kern w:val="24"/>
                <w:sz w:val="20"/>
                <w:szCs w:val="20"/>
              </w:rPr>
              <w:t>Cost/SF</w:t>
            </w:r>
          </w:p>
        </w:tc>
      </w:tr>
      <w:tr w:rsidR="00A6461B" w:rsidRPr="0041661B" w:rsidTr="00A6461B">
        <w:trPr>
          <w:jc w:val="center"/>
        </w:trPr>
        <w:tc>
          <w:tcPr>
            <w:tcW w:w="2457" w:type="dxa"/>
            <w:tcBorders>
              <w:top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Plug load</w:t>
            </w:r>
          </w:p>
        </w:tc>
        <w:tc>
          <w:tcPr>
            <w:tcW w:w="1689" w:type="dxa"/>
            <w:tcBorders>
              <w:top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6 -15</w:t>
            </w:r>
          </w:p>
        </w:tc>
        <w:tc>
          <w:tcPr>
            <w:tcW w:w="1689" w:type="dxa"/>
            <w:tcBorders>
              <w:top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Minor</w:t>
            </w:r>
          </w:p>
        </w:tc>
      </w:tr>
      <w:tr w:rsidR="00A6461B" w:rsidRPr="0041661B" w:rsidTr="00A6461B">
        <w:trPr>
          <w:jc w:val="center"/>
        </w:trPr>
        <w:tc>
          <w:tcPr>
            <w:tcW w:w="2457"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Lighting</w:t>
            </w:r>
          </w:p>
        </w:tc>
        <w:tc>
          <w:tcPr>
            <w:tcW w:w="1689"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6 - 8</w:t>
            </w:r>
          </w:p>
        </w:tc>
        <w:tc>
          <w:tcPr>
            <w:tcW w:w="1689"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$3 - $5</w:t>
            </w:r>
          </w:p>
        </w:tc>
      </w:tr>
      <w:tr w:rsidR="00A6461B" w:rsidRPr="0041661B" w:rsidTr="00A6461B">
        <w:trPr>
          <w:jc w:val="center"/>
        </w:trPr>
        <w:tc>
          <w:tcPr>
            <w:tcW w:w="2457"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Ventilation</w:t>
            </w:r>
          </w:p>
        </w:tc>
        <w:tc>
          <w:tcPr>
            <w:tcW w:w="1689"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4 - 5</w:t>
            </w:r>
          </w:p>
        </w:tc>
        <w:tc>
          <w:tcPr>
            <w:tcW w:w="1689"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$2 - $5</w:t>
            </w:r>
          </w:p>
        </w:tc>
      </w:tr>
      <w:tr w:rsidR="00A6461B" w:rsidRPr="0041661B" w:rsidTr="00A6461B">
        <w:trPr>
          <w:jc w:val="center"/>
        </w:trPr>
        <w:tc>
          <w:tcPr>
            <w:tcW w:w="2457"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Cooling</w:t>
            </w:r>
          </w:p>
        </w:tc>
        <w:tc>
          <w:tcPr>
            <w:tcW w:w="1689"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10 - 15</w:t>
            </w:r>
          </w:p>
        </w:tc>
        <w:tc>
          <w:tcPr>
            <w:tcW w:w="1689" w:type="dxa"/>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color w:val="000000"/>
                <w:kern w:val="24"/>
                <w:sz w:val="20"/>
                <w:szCs w:val="20"/>
              </w:rPr>
              <w:t>$3 - $7</w:t>
            </w:r>
          </w:p>
        </w:tc>
      </w:tr>
      <w:tr w:rsidR="00A6461B" w:rsidRPr="0041661B" w:rsidTr="00A6461B">
        <w:trPr>
          <w:jc w:val="center"/>
        </w:trPr>
        <w:tc>
          <w:tcPr>
            <w:tcW w:w="2457" w:type="dxa"/>
            <w:tcBorders>
              <w:bottom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kern w:val="24"/>
                <w:sz w:val="20"/>
                <w:szCs w:val="20"/>
              </w:rPr>
              <w:t>Heating</w:t>
            </w:r>
          </w:p>
        </w:tc>
        <w:tc>
          <w:tcPr>
            <w:tcW w:w="1689" w:type="dxa"/>
            <w:tcBorders>
              <w:bottom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kern w:val="24"/>
                <w:sz w:val="20"/>
                <w:szCs w:val="20"/>
              </w:rPr>
              <w:t>3 - 10</w:t>
            </w:r>
          </w:p>
        </w:tc>
        <w:tc>
          <w:tcPr>
            <w:tcW w:w="1689" w:type="dxa"/>
            <w:tcBorders>
              <w:bottom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kern w:val="24"/>
                <w:sz w:val="20"/>
                <w:szCs w:val="20"/>
              </w:rPr>
              <w:t>$1 - $2</w:t>
            </w:r>
          </w:p>
        </w:tc>
      </w:tr>
      <w:tr w:rsidR="00A6461B" w:rsidRPr="0041661B" w:rsidTr="00A6461B">
        <w:trPr>
          <w:jc w:val="center"/>
        </w:trPr>
        <w:tc>
          <w:tcPr>
            <w:tcW w:w="2457" w:type="dxa"/>
            <w:tcBorders>
              <w:top w:val="single" w:sz="4" w:space="0" w:color="auto"/>
              <w:bottom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b/>
                <w:bCs/>
                <w:kern w:val="24"/>
                <w:sz w:val="20"/>
                <w:szCs w:val="20"/>
              </w:rPr>
              <w:t>Total</w:t>
            </w:r>
          </w:p>
        </w:tc>
        <w:tc>
          <w:tcPr>
            <w:tcW w:w="1689" w:type="dxa"/>
            <w:tcBorders>
              <w:top w:val="single" w:sz="4" w:space="0" w:color="auto"/>
              <w:bottom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b/>
                <w:bCs/>
                <w:kern w:val="24"/>
                <w:sz w:val="20"/>
                <w:szCs w:val="20"/>
              </w:rPr>
              <w:t>30 - 50</w:t>
            </w:r>
          </w:p>
        </w:tc>
        <w:tc>
          <w:tcPr>
            <w:tcW w:w="1689" w:type="dxa"/>
            <w:tcBorders>
              <w:top w:val="single" w:sz="4" w:space="0" w:color="auto"/>
              <w:bottom w:val="single" w:sz="4" w:space="0" w:color="auto"/>
            </w:tcBorders>
            <w:shd w:val="clear" w:color="auto" w:fill="auto"/>
          </w:tcPr>
          <w:p w:rsidR="00A6461B" w:rsidRPr="0041661B" w:rsidRDefault="00A6461B" w:rsidP="00A6461B">
            <w:pPr>
              <w:jc w:val="both"/>
              <w:rPr>
                <w:rFonts w:ascii="Times New Roman" w:eastAsia="Times New Roman" w:hAnsi="Times New Roman"/>
                <w:sz w:val="20"/>
                <w:szCs w:val="20"/>
              </w:rPr>
            </w:pPr>
            <w:r w:rsidRPr="0041661B">
              <w:rPr>
                <w:rFonts w:ascii="Times New Roman" w:eastAsia="Times New Roman" w:hAnsi="Times New Roman"/>
                <w:b/>
                <w:bCs/>
                <w:kern w:val="24"/>
                <w:sz w:val="20"/>
                <w:szCs w:val="20"/>
              </w:rPr>
              <w:t>$10 - $20</w:t>
            </w:r>
          </w:p>
        </w:tc>
      </w:tr>
    </w:tbl>
    <w:p w:rsidR="00A6461B" w:rsidRDefault="00A6461B" w:rsidP="005936D7">
      <w:pPr>
        <w:jc w:val="center"/>
        <w:rPr>
          <w:rFonts w:ascii="Times New Roman" w:hAnsi="Times New Roman"/>
          <w:b/>
        </w:rPr>
      </w:pPr>
    </w:p>
    <w:p w:rsidR="002E563C" w:rsidRDefault="002E563C" w:rsidP="00A6461B">
      <w:pPr>
        <w:rPr>
          <w:rFonts w:ascii="Times New Roman" w:hAnsi="Times New Roman"/>
          <w:b/>
        </w:rPr>
      </w:pPr>
    </w:p>
    <w:p w:rsidR="002E563C" w:rsidRDefault="002E563C" w:rsidP="005936D7">
      <w:pPr>
        <w:jc w:val="center"/>
        <w:rPr>
          <w:rFonts w:ascii="Times New Roman" w:hAnsi="Times New Roman"/>
          <w:b/>
        </w:rPr>
      </w:pPr>
    </w:p>
    <w:sectPr w:rsidR="002E563C" w:rsidSect="00C61FB7">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8E" w:rsidRDefault="00BB7C8E" w:rsidP="001E12C7">
      <w:r>
        <w:separator/>
      </w:r>
    </w:p>
  </w:endnote>
  <w:endnote w:type="continuationSeparator" w:id="0">
    <w:p w:rsidR="00BB7C8E" w:rsidRDefault="00BB7C8E" w:rsidP="001E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함초롬바탕">
    <w:altName w:val="Arial Unicode MS"/>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Helvetica 65 Medium">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4" w:rsidRPr="00133E9A" w:rsidRDefault="00BA19B4">
    <w:pPr>
      <w:pStyle w:val="Footer"/>
      <w:jc w:val="center"/>
      <w:rPr>
        <w:rFonts w:ascii="Times New Roman" w:hAnsi="Times New Roman"/>
        <w:sz w:val="20"/>
        <w:szCs w:val="20"/>
      </w:rPr>
    </w:pPr>
    <w:r w:rsidRPr="00133E9A">
      <w:rPr>
        <w:rFonts w:ascii="Times New Roman" w:hAnsi="Times New Roman"/>
        <w:sz w:val="20"/>
        <w:szCs w:val="20"/>
      </w:rPr>
      <w:fldChar w:fldCharType="begin"/>
    </w:r>
    <w:r w:rsidRPr="00133E9A">
      <w:rPr>
        <w:rFonts w:ascii="Times New Roman" w:hAnsi="Times New Roman"/>
        <w:sz w:val="20"/>
        <w:szCs w:val="20"/>
      </w:rPr>
      <w:instrText xml:space="preserve"> PAGE   \* MERGEFORMAT </w:instrText>
    </w:r>
    <w:r w:rsidRPr="00133E9A">
      <w:rPr>
        <w:rFonts w:ascii="Times New Roman" w:hAnsi="Times New Roman"/>
        <w:sz w:val="20"/>
        <w:szCs w:val="20"/>
      </w:rPr>
      <w:fldChar w:fldCharType="separate"/>
    </w:r>
    <w:r w:rsidR="00BB7C8E">
      <w:rPr>
        <w:rFonts w:ascii="Times New Roman" w:hAnsi="Times New Roman"/>
        <w:noProof/>
        <w:sz w:val="20"/>
        <w:szCs w:val="20"/>
      </w:rPr>
      <w:t>1</w:t>
    </w:r>
    <w:r w:rsidRPr="00133E9A">
      <w:rPr>
        <w:rFonts w:ascii="Times New Roman" w:hAnsi="Times New Roman"/>
        <w:noProof/>
        <w:sz w:val="20"/>
        <w:szCs w:val="20"/>
      </w:rPr>
      <w:fldChar w:fldCharType="end"/>
    </w:r>
  </w:p>
  <w:p w:rsidR="00BA19B4" w:rsidRDefault="00BA1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8E" w:rsidRDefault="00BB7C8E" w:rsidP="001E12C7">
      <w:r>
        <w:separator/>
      </w:r>
    </w:p>
  </w:footnote>
  <w:footnote w:type="continuationSeparator" w:id="0">
    <w:p w:rsidR="00BB7C8E" w:rsidRDefault="00BB7C8E" w:rsidP="001E12C7">
      <w:r>
        <w:continuationSeparator/>
      </w:r>
    </w:p>
  </w:footnote>
  <w:footnote w:id="1">
    <w:p w:rsidR="00BA19B4" w:rsidRPr="00CA0DFA" w:rsidRDefault="00BA19B4">
      <w:pPr>
        <w:pStyle w:val="FootnoteText"/>
        <w:rPr>
          <w:rFonts w:ascii="Times New Roman" w:hAnsi="Times New Roman"/>
        </w:rPr>
      </w:pPr>
      <w:r w:rsidRPr="00CA0DFA">
        <w:rPr>
          <w:rStyle w:val="FootnoteReference"/>
          <w:rFonts w:ascii="Times New Roman" w:hAnsi="Times New Roman"/>
        </w:rPr>
        <w:footnoteRef/>
      </w:r>
      <w:r w:rsidRPr="00CA0DFA">
        <w:rPr>
          <w:rFonts w:ascii="Times New Roman" w:hAnsi="Times New Roman"/>
        </w:rPr>
        <w:t xml:space="preserve"> Source: The CoStar Group, 2010 study by one of the authors.</w:t>
      </w:r>
    </w:p>
  </w:footnote>
  <w:footnote w:id="2">
    <w:p w:rsidR="00BA19B4" w:rsidRDefault="00BA19B4" w:rsidP="002E563C">
      <w:pPr>
        <w:pStyle w:val="FootnoteText"/>
        <w:jc w:val="both"/>
      </w:pPr>
      <w:r w:rsidRPr="002E563C">
        <w:rPr>
          <w:rStyle w:val="FootnoteReference"/>
          <w:rFonts w:ascii="Times New Roman" w:hAnsi="Times New Roman"/>
        </w:rPr>
        <w:footnoteRef/>
      </w:r>
      <w:r w:rsidRPr="002E563C">
        <w:rPr>
          <w:rFonts w:ascii="Times New Roman" w:hAnsi="Times New Roman"/>
        </w:rPr>
        <w:t xml:space="preserve"> </w:t>
      </w:r>
      <w:r>
        <w:rPr>
          <w:rFonts w:ascii="Times New Roman" w:hAnsi="Times New Roman"/>
        </w:rPr>
        <w:t>For example, one study o</w:t>
      </w:r>
      <w:r w:rsidRPr="002E563C">
        <w:rPr>
          <w:rFonts w:ascii="Times New Roman" w:hAnsi="Times New Roman"/>
        </w:rPr>
        <w:t>n Australia, by Miller and Buys (2008)</w:t>
      </w:r>
      <w:r>
        <w:rPr>
          <w:rFonts w:ascii="Times New Roman" w:hAnsi="Times New Roman"/>
        </w:rPr>
        <w:t>,</w:t>
      </w:r>
      <w:r w:rsidRPr="002E563C">
        <w:rPr>
          <w:rFonts w:ascii="Times New Roman" w:hAnsi="Times New Roman"/>
        </w:rPr>
        <w:t xml:space="preserve"> examined the benefits of retrofits from the</w:t>
      </w:r>
      <w:r>
        <w:rPr>
          <w:rFonts w:ascii="Times New Roman" w:hAnsi="Times New Roman"/>
        </w:rPr>
        <w:t xml:space="preserve"> perspective of tenants in a large office property. They found positive sentiments that green retrofits would continue and were well received by tenants. No study we are aware of has examined the economics of retrofits based on a broadly selected sample.</w:t>
      </w:r>
    </w:p>
  </w:footnote>
  <w:footnote w:id="3">
    <w:p w:rsidR="00BA19B4" w:rsidRPr="005A1296" w:rsidRDefault="00BA19B4" w:rsidP="002E563C">
      <w:pPr>
        <w:pStyle w:val="FootnoteText"/>
        <w:jc w:val="both"/>
        <w:rPr>
          <w:rFonts w:ascii="Times New Roman" w:hAnsi="Times New Roman"/>
        </w:rPr>
      </w:pPr>
      <w:r w:rsidRPr="005A1296">
        <w:rPr>
          <w:rStyle w:val="FootnoteReference"/>
          <w:rFonts w:ascii="Times New Roman" w:hAnsi="Times New Roman"/>
        </w:rPr>
        <w:footnoteRef/>
      </w:r>
      <w:r w:rsidRPr="005A1296">
        <w:rPr>
          <w:rFonts w:ascii="Times New Roman" w:hAnsi="Times New Roman"/>
        </w:rPr>
        <w:t xml:space="preserve"> </w:t>
      </w:r>
      <w:r>
        <w:rPr>
          <w:rFonts w:ascii="Times New Roman" w:hAnsi="Times New Roman"/>
        </w:rPr>
        <w:t>CBRE. 2010.</w:t>
      </w:r>
      <w:r w:rsidRPr="002E563C">
        <w:rPr>
          <w:rFonts w:ascii="Times New Roman" w:hAnsi="Times New Roman"/>
        </w:rPr>
        <w:t xml:space="preserve"> "Locational Preferences of Central London Occupiers," CBRE Research</w:t>
      </w:r>
      <w:r>
        <w:rPr>
          <w:rFonts w:ascii="Times New Roman" w:hAnsi="Times New Roman"/>
        </w:rPr>
        <w:t>.</w:t>
      </w:r>
      <w:r w:rsidRPr="005A1296">
        <w:rPr>
          <w:rFonts w:ascii="Times New Roman" w:hAnsi="Times New Roman"/>
        </w:rPr>
        <w:t xml:space="preserve"> </w:t>
      </w:r>
    </w:p>
  </w:footnote>
  <w:footnote w:id="4">
    <w:p w:rsidR="00BA19B4" w:rsidRPr="00CA0DFA" w:rsidRDefault="00BA19B4" w:rsidP="00376C9E">
      <w:pPr>
        <w:pStyle w:val="FootnoteText"/>
        <w:rPr>
          <w:rFonts w:ascii="Times New Roman" w:hAnsi="Times New Roman"/>
        </w:rPr>
      </w:pPr>
      <w:r w:rsidRPr="00CA0DFA">
        <w:rPr>
          <w:rStyle w:val="FootnoteReference"/>
          <w:rFonts w:ascii="Times New Roman" w:hAnsi="Times New Roman"/>
        </w:rPr>
        <w:footnoteRef/>
      </w:r>
      <w:r w:rsidRPr="00CA0DFA">
        <w:rPr>
          <w:rFonts w:ascii="Times New Roman" w:hAnsi="Times New Roman"/>
        </w:rPr>
        <w:t xml:space="preserve"> See “Corporate Occupier Sustainability Perspectives – 2012” by Corenet Global, CBRE and the University of San Diego.</w:t>
      </w:r>
    </w:p>
  </w:footnote>
  <w:footnote w:id="5">
    <w:p w:rsidR="00BA19B4" w:rsidRPr="002E563C" w:rsidRDefault="00BA19B4" w:rsidP="002E563C">
      <w:pPr>
        <w:pStyle w:val="FootnoteText"/>
        <w:jc w:val="both"/>
        <w:rPr>
          <w:rFonts w:ascii="Times New Roman" w:hAnsi="Times New Roman"/>
        </w:rPr>
      </w:pPr>
      <w:r w:rsidRPr="002E563C">
        <w:rPr>
          <w:rStyle w:val="FootnoteReference"/>
          <w:rFonts w:ascii="Times New Roman" w:hAnsi="Times New Roman"/>
        </w:rPr>
        <w:footnoteRef/>
      </w:r>
      <w:r w:rsidRPr="002E563C">
        <w:rPr>
          <w:rFonts w:ascii="Times New Roman" w:hAnsi="Times New Roman"/>
        </w:rPr>
        <w:t xml:space="preserve"> Jones Lang LaSalle. 2009. The Performance Measurement Challenge.</w:t>
      </w:r>
    </w:p>
  </w:footnote>
  <w:footnote w:id="6">
    <w:p w:rsidR="00BA19B4" w:rsidRPr="002E563C" w:rsidRDefault="00BA19B4" w:rsidP="002E563C">
      <w:pPr>
        <w:pStyle w:val="FootnoteText"/>
        <w:rPr>
          <w:rFonts w:ascii="Times New Roman" w:hAnsi="Times New Roman"/>
        </w:rPr>
      </w:pPr>
      <w:r w:rsidRPr="002E563C">
        <w:rPr>
          <w:rStyle w:val="FootnoteReference"/>
          <w:rFonts w:ascii="Times New Roman" w:hAnsi="Times New Roman"/>
        </w:rPr>
        <w:footnoteRef/>
      </w:r>
      <w:r w:rsidRPr="002E563C">
        <w:rPr>
          <w:rFonts w:ascii="Times New Roman" w:hAnsi="Times New Roman"/>
        </w:rPr>
        <w:t xml:space="preserve"> British Land. </w:t>
      </w:r>
      <w:r>
        <w:rPr>
          <w:rFonts w:ascii="Times New Roman" w:hAnsi="Times New Roman"/>
        </w:rPr>
        <w:t>2010. “</w:t>
      </w:r>
      <w:r w:rsidRPr="002E563C">
        <w:rPr>
          <w:rFonts w:ascii="Times New Roman" w:hAnsi="Times New Roman"/>
        </w:rPr>
        <w:t>Achieving More Together: Corporate Responsibility Summary Report 2010.</w:t>
      </w:r>
      <w:r>
        <w:rPr>
          <w:rFonts w:ascii="Times New Roman" w:hAnsi="Times New Roman"/>
        </w:rPr>
        <w:t>”</w:t>
      </w:r>
      <w:r w:rsidRPr="002E563C">
        <w:rPr>
          <w:rFonts w:ascii="Times New Roman" w:hAnsi="Times New Roman"/>
        </w:rPr>
        <w:t xml:space="preserve"> </w:t>
      </w:r>
    </w:p>
    <w:p w:rsidR="00BA19B4" w:rsidRDefault="00BA19B4">
      <w:pPr>
        <w:pStyle w:val="FootnoteText"/>
      </w:pPr>
    </w:p>
  </w:footnote>
  <w:footnote w:id="7">
    <w:p w:rsidR="00BA19B4" w:rsidRPr="0041661B" w:rsidRDefault="00BA19B4" w:rsidP="00801F9A">
      <w:pPr>
        <w:pStyle w:val="FootnoteText"/>
        <w:rPr>
          <w:rFonts w:ascii="Times New Roman" w:hAnsi="Times New Roman"/>
        </w:rPr>
      </w:pPr>
      <w:r w:rsidRPr="0041661B">
        <w:rPr>
          <w:rStyle w:val="FootnoteReference"/>
          <w:rFonts w:ascii="Times New Roman" w:hAnsi="Times New Roman"/>
        </w:rPr>
        <w:footnoteRef/>
      </w:r>
      <w:r>
        <w:rPr>
          <w:rFonts w:ascii="Times New Roman" w:hAnsi="Times New Roman"/>
        </w:rPr>
        <w:t xml:space="preserve"> See</w:t>
      </w:r>
      <w:r w:rsidRPr="0041661B">
        <w:rPr>
          <w:rFonts w:ascii="Times New Roman" w:hAnsi="Times New Roman"/>
        </w:rPr>
        <w:t xml:space="preserve"> http://www.davislangdon.com/Global/</w:t>
      </w:r>
      <w:r>
        <w:rPr>
          <w:rFonts w:ascii="Times New Roman" w:hAnsi="Times New Roman"/>
        </w:rPr>
        <w:t>.</w:t>
      </w:r>
    </w:p>
    <w:p w:rsidR="00BA19B4" w:rsidRDefault="00BA19B4" w:rsidP="00801F9A">
      <w:pPr>
        <w:pStyle w:val="FootnoteText"/>
      </w:pPr>
    </w:p>
  </w:footnote>
  <w:footnote w:id="8">
    <w:p w:rsidR="00BA19B4" w:rsidRPr="00BA19B4" w:rsidRDefault="00BA19B4" w:rsidP="0075317A">
      <w:pPr>
        <w:pStyle w:val="FootnoteText"/>
        <w:rPr>
          <w:rFonts w:ascii="Times New Roman" w:hAnsi="Times New Roman"/>
        </w:rPr>
      </w:pPr>
      <w:r w:rsidRPr="00BA19B4">
        <w:rPr>
          <w:rStyle w:val="FootnoteReference"/>
          <w:rFonts w:ascii="Times New Roman" w:hAnsi="Times New Roman"/>
        </w:rPr>
        <w:footnoteRef/>
      </w:r>
      <w:r w:rsidRPr="00BA19B4">
        <w:rPr>
          <w:rFonts w:ascii="Times New Roman" w:hAnsi="Times New Roman"/>
        </w:rPr>
        <w:t xml:space="preserve"> For example, Fireman’s Fund charges about 5 percent lower insurance premiums for such buildings.</w:t>
      </w:r>
    </w:p>
  </w:footnote>
  <w:footnote w:id="9">
    <w:p w:rsidR="00BA19B4" w:rsidRPr="00BA19B4" w:rsidRDefault="00BA19B4">
      <w:pPr>
        <w:pStyle w:val="FootnoteText"/>
        <w:rPr>
          <w:rFonts w:ascii="Times New Roman" w:hAnsi="Times New Roman"/>
        </w:rPr>
      </w:pPr>
      <w:r w:rsidRPr="00BA19B4">
        <w:rPr>
          <w:rStyle w:val="FootnoteReference"/>
          <w:rFonts w:ascii="Times New Roman" w:hAnsi="Times New Roman"/>
        </w:rPr>
        <w:footnoteRef/>
      </w:r>
      <w:r w:rsidRPr="00BA19B4">
        <w:rPr>
          <w:rFonts w:ascii="Times New Roman" w:hAnsi="Times New Roman"/>
        </w:rPr>
        <w:t xml:space="preserve"> See https://www.globalreporting.org/ and http://www.gresb.com</w:t>
      </w:r>
    </w:p>
  </w:footnote>
  <w:footnote w:id="10">
    <w:p w:rsidR="00BA19B4" w:rsidRPr="00BA19B4" w:rsidRDefault="00BA19B4">
      <w:pPr>
        <w:pStyle w:val="FootnoteText"/>
        <w:rPr>
          <w:rFonts w:ascii="Times New Roman" w:hAnsi="Times New Roman"/>
        </w:rPr>
      </w:pPr>
      <w:r w:rsidRPr="00BA19B4">
        <w:rPr>
          <w:rStyle w:val="FootnoteReference"/>
          <w:rFonts w:ascii="Times New Roman" w:hAnsi="Times New Roman"/>
        </w:rPr>
        <w:footnoteRef/>
      </w:r>
      <w:r w:rsidRPr="00BA19B4">
        <w:rPr>
          <w:rFonts w:ascii="Times New Roman" w:hAnsi="Times New Roman"/>
        </w:rPr>
        <w:t xml:space="preserve"> For example, LEED (global), BREEAM (global), Energy Star (US), CASBEE (Japan), HK BEAM (Hong Kong), Green Star (Australia), HQE (France) and DGNB (Germany).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700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340E9C"/>
    <w:multiLevelType w:val="hybridMultilevel"/>
    <w:tmpl w:val="485448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128CF"/>
    <w:multiLevelType w:val="hybridMultilevel"/>
    <w:tmpl w:val="0818B9F0"/>
    <w:lvl w:ilvl="0" w:tplc="B6DA52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B77E96"/>
    <w:multiLevelType w:val="hybridMultilevel"/>
    <w:tmpl w:val="3656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8D5ED6"/>
    <w:multiLevelType w:val="hybridMultilevel"/>
    <w:tmpl w:val="EF4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D3117B"/>
    <w:multiLevelType w:val="hybridMultilevel"/>
    <w:tmpl w:val="B15A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12D64"/>
    <w:multiLevelType w:val="hybridMultilevel"/>
    <w:tmpl w:val="27C86C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Economic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item db-id=&quot;f2ar0z95bxfes4exf9l5s2sftaat5efvvz9a&quot;&gt;general biblio Oct 2008 copy&lt;record-ids&gt;&lt;item&gt;173&lt;/item&gt;&lt;item&gt;175&lt;/item&gt;&lt;item&gt;284&lt;/item&gt;&lt;item&gt;285&lt;/item&gt;&lt;item&gt;288&lt;/item&gt;&lt;item&gt;427&lt;/item&gt;&lt;item&gt;439&lt;/item&gt;&lt;item&gt;440&lt;/item&gt;&lt;item&gt;573&lt;/item&gt;&lt;item&gt;579&lt;/item&gt;&lt;item&gt;580&lt;/item&gt;&lt;item&gt;635&lt;/item&gt;&lt;item&gt;636&lt;/item&gt;&lt;/record-ids&gt;&lt;/item&gt;&lt;/Libraries&gt;"/>
  </w:docVars>
  <w:rsids>
    <w:rsidRoot w:val="00AA7DC2"/>
    <w:rsid w:val="000001B1"/>
    <w:rsid w:val="00005662"/>
    <w:rsid w:val="00016131"/>
    <w:rsid w:val="000273CB"/>
    <w:rsid w:val="00027BF3"/>
    <w:rsid w:val="00036591"/>
    <w:rsid w:val="0004004B"/>
    <w:rsid w:val="00050CDD"/>
    <w:rsid w:val="000732B7"/>
    <w:rsid w:val="000B135F"/>
    <w:rsid w:val="000F0609"/>
    <w:rsid w:val="00100308"/>
    <w:rsid w:val="00114E10"/>
    <w:rsid w:val="00123378"/>
    <w:rsid w:val="00133E9A"/>
    <w:rsid w:val="00142850"/>
    <w:rsid w:val="00151B4B"/>
    <w:rsid w:val="001823D0"/>
    <w:rsid w:val="001E12C7"/>
    <w:rsid w:val="00240C57"/>
    <w:rsid w:val="00255CF6"/>
    <w:rsid w:val="00255EF1"/>
    <w:rsid w:val="002643D1"/>
    <w:rsid w:val="002A5760"/>
    <w:rsid w:val="002A6C68"/>
    <w:rsid w:val="002C0ED1"/>
    <w:rsid w:val="002C7368"/>
    <w:rsid w:val="002E563C"/>
    <w:rsid w:val="002F131E"/>
    <w:rsid w:val="002F5444"/>
    <w:rsid w:val="0031052F"/>
    <w:rsid w:val="003131DA"/>
    <w:rsid w:val="00352AAE"/>
    <w:rsid w:val="00376C9E"/>
    <w:rsid w:val="003772A5"/>
    <w:rsid w:val="003C6958"/>
    <w:rsid w:val="0041661B"/>
    <w:rsid w:val="00420826"/>
    <w:rsid w:val="00481B9A"/>
    <w:rsid w:val="004A462E"/>
    <w:rsid w:val="004B59D6"/>
    <w:rsid w:val="004D5311"/>
    <w:rsid w:val="004F3D0B"/>
    <w:rsid w:val="005418C3"/>
    <w:rsid w:val="00551A3B"/>
    <w:rsid w:val="00570E43"/>
    <w:rsid w:val="00592A9D"/>
    <w:rsid w:val="005936D7"/>
    <w:rsid w:val="005A6B23"/>
    <w:rsid w:val="005F2C79"/>
    <w:rsid w:val="0064334F"/>
    <w:rsid w:val="00643617"/>
    <w:rsid w:val="00656CE3"/>
    <w:rsid w:val="00665605"/>
    <w:rsid w:val="00697D4B"/>
    <w:rsid w:val="006B63A6"/>
    <w:rsid w:val="00706E5F"/>
    <w:rsid w:val="00723324"/>
    <w:rsid w:val="007238DF"/>
    <w:rsid w:val="0075317A"/>
    <w:rsid w:val="00761F1E"/>
    <w:rsid w:val="007852B1"/>
    <w:rsid w:val="007F12EA"/>
    <w:rsid w:val="00801F9A"/>
    <w:rsid w:val="00805873"/>
    <w:rsid w:val="008204FE"/>
    <w:rsid w:val="00852599"/>
    <w:rsid w:val="00861880"/>
    <w:rsid w:val="00863957"/>
    <w:rsid w:val="00883637"/>
    <w:rsid w:val="008E3ACE"/>
    <w:rsid w:val="008F7948"/>
    <w:rsid w:val="00904411"/>
    <w:rsid w:val="00913763"/>
    <w:rsid w:val="009254E6"/>
    <w:rsid w:val="00951AAC"/>
    <w:rsid w:val="00970D34"/>
    <w:rsid w:val="00980585"/>
    <w:rsid w:val="00992429"/>
    <w:rsid w:val="00992D0D"/>
    <w:rsid w:val="009B6A21"/>
    <w:rsid w:val="009B7C02"/>
    <w:rsid w:val="00A120AC"/>
    <w:rsid w:val="00A1743E"/>
    <w:rsid w:val="00A321D8"/>
    <w:rsid w:val="00A4045C"/>
    <w:rsid w:val="00A54B76"/>
    <w:rsid w:val="00A6461B"/>
    <w:rsid w:val="00A74EC6"/>
    <w:rsid w:val="00AA0E48"/>
    <w:rsid w:val="00AA7DC2"/>
    <w:rsid w:val="00AB3AC8"/>
    <w:rsid w:val="00AD727C"/>
    <w:rsid w:val="00AE14EB"/>
    <w:rsid w:val="00B21B1E"/>
    <w:rsid w:val="00B261CD"/>
    <w:rsid w:val="00B277A0"/>
    <w:rsid w:val="00B62A00"/>
    <w:rsid w:val="00B74879"/>
    <w:rsid w:val="00B83F87"/>
    <w:rsid w:val="00BA034D"/>
    <w:rsid w:val="00BA19B4"/>
    <w:rsid w:val="00BB7C8E"/>
    <w:rsid w:val="00BC1311"/>
    <w:rsid w:val="00BE4614"/>
    <w:rsid w:val="00BF7719"/>
    <w:rsid w:val="00C02073"/>
    <w:rsid w:val="00C04F77"/>
    <w:rsid w:val="00C06912"/>
    <w:rsid w:val="00C313BE"/>
    <w:rsid w:val="00C4613F"/>
    <w:rsid w:val="00C519F5"/>
    <w:rsid w:val="00C61FB7"/>
    <w:rsid w:val="00CA0DFA"/>
    <w:rsid w:val="00CA45E1"/>
    <w:rsid w:val="00D03238"/>
    <w:rsid w:val="00D34958"/>
    <w:rsid w:val="00D55D4E"/>
    <w:rsid w:val="00DA2B40"/>
    <w:rsid w:val="00DE3846"/>
    <w:rsid w:val="00DE4D6C"/>
    <w:rsid w:val="00DF4971"/>
    <w:rsid w:val="00E37266"/>
    <w:rsid w:val="00E4655F"/>
    <w:rsid w:val="00E6149B"/>
    <w:rsid w:val="00F261C5"/>
    <w:rsid w:val="00F3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045C"/>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A4045C"/>
    <w:rPr>
      <w:color w:val="0000FF"/>
      <w:u w:val="single"/>
    </w:rPr>
  </w:style>
  <w:style w:type="paragraph" w:styleId="FootnoteText">
    <w:name w:val="footnote text"/>
    <w:basedOn w:val="Normal"/>
    <w:link w:val="FootnoteTextChar"/>
    <w:uiPriority w:val="99"/>
    <w:unhideWhenUsed/>
    <w:rsid w:val="001E12C7"/>
    <w:rPr>
      <w:sz w:val="20"/>
      <w:szCs w:val="20"/>
    </w:rPr>
  </w:style>
  <w:style w:type="character" w:customStyle="1" w:styleId="FootnoteTextChar">
    <w:name w:val="Footnote Text Char"/>
    <w:link w:val="FootnoteText"/>
    <w:uiPriority w:val="99"/>
    <w:rsid w:val="001E12C7"/>
    <w:rPr>
      <w:sz w:val="20"/>
      <w:szCs w:val="20"/>
    </w:rPr>
  </w:style>
  <w:style w:type="character" w:styleId="FootnoteReference">
    <w:name w:val="footnote reference"/>
    <w:uiPriority w:val="99"/>
    <w:unhideWhenUsed/>
    <w:rsid w:val="001E12C7"/>
    <w:rPr>
      <w:vertAlign w:val="superscript"/>
    </w:rPr>
  </w:style>
  <w:style w:type="paragraph" w:styleId="ListParagraph">
    <w:name w:val="List Paragraph"/>
    <w:basedOn w:val="Normal"/>
    <w:uiPriority w:val="34"/>
    <w:qFormat/>
    <w:rsid w:val="00B277A0"/>
    <w:pPr>
      <w:ind w:left="720"/>
      <w:contextualSpacing/>
    </w:pPr>
  </w:style>
  <w:style w:type="paragraph" w:styleId="BalloonText">
    <w:name w:val="Balloon Text"/>
    <w:basedOn w:val="Normal"/>
    <w:link w:val="BalloonTextChar"/>
    <w:uiPriority w:val="99"/>
    <w:semiHidden/>
    <w:unhideWhenUsed/>
    <w:rsid w:val="00992D0D"/>
    <w:rPr>
      <w:rFonts w:ascii="Lucida Grande" w:hAnsi="Lucida Grande" w:cs="Lucida Grande"/>
      <w:sz w:val="18"/>
      <w:szCs w:val="18"/>
    </w:rPr>
  </w:style>
  <w:style w:type="character" w:customStyle="1" w:styleId="BalloonTextChar">
    <w:name w:val="Balloon Text Char"/>
    <w:link w:val="BalloonText"/>
    <w:uiPriority w:val="99"/>
    <w:semiHidden/>
    <w:rsid w:val="00992D0D"/>
    <w:rPr>
      <w:rFonts w:ascii="Lucida Grande" w:hAnsi="Lucida Grande" w:cs="Lucida Grande"/>
      <w:sz w:val="18"/>
      <w:szCs w:val="18"/>
    </w:rPr>
  </w:style>
  <w:style w:type="character" w:styleId="HTMLCite">
    <w:name w:val="HTML Cite"/>
    <w:semiHidden/>
    <w:unhideWhenUsed/>
    <w:rsid w:val="00027BF3"/>
    <w:rPr>
      <w:i/>
      <w:iCs/>
    </w:rPr>
  </w:style>
  <w:style w:type="paragraph" w:customStyle="1" w:styleId="a">
    <w:name w:val="바탕글"/>
    <w:basedOn w:val="Normal"/>
    <w:rsid w:val="00027BF3"/>
    <w:pPr>
      <w:snapToGrid w:val="0"/>
      <w:spacing w:line="384" w:lineRule="auto"/>
      <w:jc w:val="both"/>
    </w:pPr>
    <w:rPr>
      <w:rFonts w:ascii="함초롬바탕" w:eastAsia="함초롬바탕" w:hAnsi="함초롬바탕" w:cs="Gulim"/>
      <w:color w:val="000000"/>
      <w:sz w:val="20"/>
      <w:szCs w:val="20"/>
      <w:lang w:eastAsia="ko-KR"/>
    </w:rPr>
  </w:style>
  <w:style w:type="paragraph" w:customStyle="1" w:styleId="Default">
    <w:name w:val="Default"/>
    <w:rsid w:val="00992429"/>
    <w:pPr>
      <w:widowControl w:val="0"/>
      <w:autoSpaceDE w:val="0"/>
      <w:autoSpaceDN w:val="0"/>
      <w:adjustRightInd w:val="0"/>
    </w:pPr>
    <w:rPr>
      <w:rFonts w:ascii="Helvetica 65 Medium" w:eastAsia="Times New Roman" w:hAnsi="Helvetica 65 Medium" w:cs="Helvetica 65 Medium"/>
      <w:color w:val="000000"/>
      <w:sz w:val="24"/>
      <w:szCs w:val="24"/>
    </w:rPr>
  </w:style>
  <w:style w:type="paragraph" w:styleId="Header">
    <w:name w:val="header"/>
    <w:basedOn w:val="Normal"/>
    <w:link w:val="HeaderChar"/>
    <w:uiPriority w:val="99"/>
    <w:unhideWhenUsed/>
    <w:rsid w:val="00C313BE"/>
    <w:pPr>
      <w:tabs>
        <w:tab w:val="center" w:pos="4680"/>
        <w:tab w:val="right" w:pos="9360"/>
      </w:tabs>
    </w:pPr>
  </w:style>
  <w:style w:type="character" w:customStyle="1" w:styleId="HeaderChar">
    <w:name w:val="Header Char"/>
    <w:basedOn w:val="DefaultParagraphFont"/>
    <w:link w:val="Header"/>
    <w:uiPriority w:val="99"/>
    <w:rsid w:val="00C313BE"/>
  </w:style>
  <w:style w:type="paragraph" w:styleId="Footer">
    <w:name w:val="footer"/>
    <w:basedOn w:val="Normal"/>
    <w:link w:val="FooterChar"/>
    <w:uiPriority w:val="99"/>
    <w:unhideWhenUsed/>
    <w:rsid w:val="00C313BE"/>
    <w:pPr>
      <w:tabs>
        <w:tab w:val="center" w:pos="4680"/>
        <w:tab w:val="right" w:pos="9360"/>
      </w:tabs>
    </w:pPr>
  </w:style>
  <w:style w:type="character" w:customStyle="1" w:styleId="FooterChar">
    <w:name w:val="Footer Char"/>
    <w:basedOn w:val="DefaultParagraphFont"/>
    <w:link w:val="Footer"/>
    <w:uiPriority w:val="99"/>
    <w:rsid w:val="00C313BE"/>
  </w:style>
  <w:style w:type="paragraph" w:customStyle="1" w:styleId="nameblock">
    <w:name w:val="name block"/>
    <w:basedOn w:val="Normal"/>
    <w:rsid w:val="00A54B76"/>
    <w:pPr>
      <w:keepLines/>
      <w:spacing w:before="480" w:after="480"/>
      <w:jc w:val="center"/>
    </w:pPr>
    <w:rPr>
      <w:rFonts w:ascii="Times New Roman" w:eastAsia="Times New Roman" w:hAnsi="Times New Roman"/>
      <w:lang w:bidi="en-US"/>
    </w:rPr>
  </w:style>
  <w:style w:type="paragraph" w:customStyle="1" w:styleId="pgtitle">
    <w:name w:val="pgtitle"/>
    <w:basedOn w:val="Normal"/>
    <w:rsid w:val="00A54B76"/>
    <w:pPr>
      <w:keepLines/>
      <w:spacing w:after="480"/>
      <w:jc w:val="center"/>
    </w:pPr>
    <w:rPr>
      <w:rFonts w:ascii="Times New Roman" w:eastAsia="Times New Roman" w:hAnsi="Times New Roman"/>
      <w:b/>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045C"/>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A4045C"/>
    <w:rPr>
      <w:color w:val="0000FF"/>
      <w:u w:val="single"/>
    </w:rPr>
  </w:style>
  <w:style w:type="paragraph" w:styleId="FootnoteText">
    <w:name w:val="footnote text"/>
    <w:basedOn w:val="Normal"/>
    <w:link w:val="FootnoteTextChar"/>
    <w:uiPriority w:val="99"/>
    <w:unhideWhenUsed/>
    <w:rsid w:val="001E12C7"/>
    <w:rPr>
      <w:sz w:val="20"/>
      <w:szCs w:val="20"/>
    </w:rPr>
  </w:style>
  <w:style w:type="character" w:customStyle="1" w:styleId="FootnoteTextChar">
    <w:name w:val="Footnote Text Char"/>
    <w:link w:val="FootnoteText"/>
    <w:uiPriority w:val="99"/>
    <w:rsid w:val="001E12C7"/>
    <w:rPr>
      <w:sz w:val="20"/>
      <w:szCs w:val="20"/>
    </w:rPr>
  </w:style>
  <w:style w:type="character" w:styleId="FootnoteReference">
    <w:name w:val="footnote reference"/>
    <w:uiPriority w:val="99"/>
    <w:unhideWhenUsed/>
    <w:rsid w:val="001E12C7"/>
    <w:rPr>
      <w:vertAlign w:val="superscript"/>
    </w:rPr>
  </w:style>
  <w:style w:type="paragraph" w:styleId="ListParagraph">
    <w:name w:val="List Paragraph"/>
    <w:basedOn w:val="Normal"/>
    <w:uiPriority w:val="34"/>
    <w:qFormat/>
    <w:rsid w:val="00B277A0"/>
    <w:pPr>
      <w:ind w:left="720"/>
      <w:contextualSpacing/>
    </w:pPr>
  </w:style>
  <w:style w:type="paragraph" w:styleId="BalloonText">
    <w:name w:val="Balloon Text"/>
    <w:basedOn w:val="Normal"/>
    <w:link w:val="BalloonTextChar"/>
    <w:uiPriority w:val="99"/>
    <w:semiHidden/>
    <w:unhideWhenUsed/>
    <w:rsid w:val="00992D0D"/>
    <w:rPr>
      <w:rFonts w:ascii="Lucida Grande" w:hAnsi="Lucida Grande" w:cs="Lucida Grande"/>
      <w:sz w:val="18"/>
      <w:szCs w:val="18"/>
    </w:rPr>
  </w:style>
  <w:style w:type="character" w:customStyle="1" w:styleId="BalloonTextChar">
    <w:name w:val="Balloon Text Char"/>
    <w:link w:val="BalloonText"/>
    <w:uiPriority w:val="99"/>
    <w:semiHidden/>
    <w:rsid w:val="00992D0D"/>
    <w:rPr>
      <w:rFonts w:ascii="Lucida Grande" w:hAnsi="Lucida Grande" w:cs="Lucida Grande"/>
      <w:sz w:val="18"/>
      <w:szCs w:val="18"/>
    </w:rPr>
  </w:style>
  <w:style w:type="character" w:styleId="HTMLCite">
    <w:name w:val="HTML Cite"/>
    <w:semiHidden/>
    <w:unhideWhenUsed/>
    <w:rsid w:val="00027BF3"/>
    <w:rPr>
      <w:i/>
      <w:iCs/>
    </w:rPr>
  </w:style>
  <w:style w:type="paragraph" w:customStyle="1" w:styleId="a">
    <w:name w:val="바탕글"/>
    <w:basedOn w:val="Normal"/>
    <w:rsid w:val="00027BF3"/>
    <w:pPr>
      <w:snapToGrid w:val="0"/>
      <w:spacing w:line="384" w:lineRule="auto"/>
      <w:jc w:val="both"/>
    </w:pPr>
    <w:rPr>
      <w:rFonts w:ascii="함초롬바탕" w:eastAsia="함초롬바탕" w:hAnsi="함초롬바탕" w:cs="Gulim"/>
      <w:color w:val="000000"/>
      <w:sz w:val="20"/>
      <w:szCs w:val="20"/>
      <w:lang w:eastAsia="ko-KR"/>
    </w:rPr>
  </w:style>
  <w:style w:type="paragraph" w:customStyle="1" w:styleId="Default">
    <w:name w:val="Default"/>
    <w:rsid w:val="00992429"/>
    <w:pPr>
      <w:widowControl w:val="0"/>
      <w:autoSpaceDE w:val="0"/>
      <w:autoSpaceDN w:val="0"/>
      <w:adjustRightInd w:val="0"/>
    </w:pPr>
    <w:rPr>
      <w:rFonts w:ascii="Helvetica 65 Medium" w:eastAsia="Times New Roman" w:hAnsi="Helvetica 65 Medium" w:cs="Helvetica 65 Medium"/>
      <w:color w:val="000000"/>
      <w:sz w:val="24"/>
      <w:szCs w:val="24"/>
    </w:rPr>
  </w:style>
  <w:style w:type="paragraph" w:styleId="Header">
    <w:name w:val="header"/>
    <w:basedOn w:val="Normal"/>
    <w:link w:val="HeaderChar"/>
    <w:uiPriority w:val="99"/>
    <w:unhideWhenUsed/>
    <w:rsid w:val="00C313BE"/>
    <w:pPr>
      <w:tabs>
        <w:tab w:val="center" w:pos="4680"/>
        <w:tab w:val="right" w:pos="9360"/>
      </w:tabs>
    </w:pPr>
  </w:style>
  <w:style w:type="character" w:customStyle="1" w:styleId="HeaderChar">
    <w:name w:val="Header Char"/>
    <w:basedOn w:val="DefaultParagraphFont"/>
    <w:link w:val="Header"/>
    <w:uiPriority w:val="99"/>
    <w:rsid w:val="00C313BE"/>
  </w:style>
  <w:style w:type="paragraph" w:styleId="Footer">
    <w:name w:val="footer"/>
    <w:basedOn w:val="Normal"/>
    <w:link w:val="FooterChar"/>
    <w:uiPriority w:val="99"/>
    <w:unhideWhenUsed/>
    <w:rsid w:val="00C313BE"/>
    <w:pPr>
      <w:tabs>
        <w:tab w:val="center" w:pos="4680"/>
        <w:tab w:val="right" w:pos="9360"/>
      </w:tabs>
    </w:pPr>
  </w:style>
  <w:style w:type="character" w:customStyle="1" w:styleId="FooterChar">
    <w:name w:val="Footer Char"/>
    <w:basedOn w:val="DefaultParagraphFont"/>
    <w:link w:val="Footer"/>
    <w:uiPriority w:val="99"/>
    <w:rsid w:val="00C313BE"/>
  </w:style>
  <w:style w:type="paragraph" w:customStyle="1" w:styleId="nameblock">
    <w:name w:val="name block"/>
    <w:basedOn w:val="Normal"/>
    <w:rsid w:val="00A54B76"/>
    <w:pPr>
      <w:keepLines/>
      <w:spacing w:before="480" w:after="480"/>
      <w:jc w:val="center"/>
    </w:pPr>
    <w:rPr>
      <w:rFonts w:ascii="Times New Roman" w:eastAsia="Times New Roman" w:hAnsi="Times New Roman"/>
      <w:lang w:bidi="en-US"/>
    </w:rPr>
  </w:style>
  <w:style w:type="paragraph" w:customStyle="1" w:styleId="pgtitle">
    <w:name w:val="pgtitle"/>
    <w:basedOn w:val="Normal"/>
    <w:rsid w:val="00A54B76"/>
    <w:pPr>
      <w:keepLines/>
      <w:spacing w:after="480"/>
      <w:jc w:val="center"/>
    </w:pPr>
    <w:rPr>
      <w:rFonts w:ascii="Times New Roman" w:eastAsia="Times New Roman" w:hAnsi="Times New Roman"/>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17991">
      <w:bodyDiv w:val="1"/>
      <w:marLeft w:val="0"/>
      <w:marRight w:val="0"/>
      <w:marTop w:val="0"/>
      <w:marBottom w:val="0"/>
      <w:divBdr>
        <w:top w:val="none" w:sz="0" w:space="0" w:color="auto"/>
        <w:left w:val="none" w:sz="0" w:space="0" w:color="auto"/>
        <w:bottom w:val="none" w:sz="0" w:space="0" w:color="auto"/>
        <w:right w:val="none" w:sz="0" w:space="0" w:color="auto"/>
      </w:divBdr>
    </w:div>
    <w:div w:id="1225986159">
      <w:bodyDiv w:val="1"/>
      <w:marLeft w:val="0"/>
      <w:marRight w:val="0"/>
      <w:marTop w:val="0"/>
      <w:marBottom w:val="0"/>
      <w:divBdr>
        <w:top w:val="none" w:sz="0" w:space="0" w:color="auto"/>
        <w:left w:val="none" w:sz="0" w:space="0" w:color="auto"/>
        <w:bottom w:val="none" w:sz="0" w:space="0" w:color="auto"/>
        <w:right w:val="none" w:sz="0" w:space="0" w:color="auto"/>
      </w:divBdr>
    </w:div>
    <w:div w:id="1506049867">
      <w:bodyDiv w:val="1"/>
      <w:marLeft w:val="0"/>
      <w:marRight w:val="0"/>
      <w:marTop w:val="0"/>
      <w:marBottom w:val="0"/>
      <w:divBdr>
        <w:top w:val="none" w:sz="0" w:space="0" w:color="auto"/>
        <w:left w:val="none" w:sz="0" w:space="0" w:color="auto"/>
        <w:bottom w:val="none" w:sz="0" w:space="0" w:color="auto"/>
        <w:right w:val="none" w:sz="0" w:space="0" w:color="auto"/>
      </w:divBdr>
    </w:div>
    <w:div w:id="1683434442">
      <w:bodyDiv w:val="1"/>
      <w:marLeft w:val="0"/>
      <w:marRight w:val="0"/>
      <w:marTop w:val="0"/>
      <w:marBottom w:val="0"/>
      <w:divBdr>
        <w:top w:val="none" w:sz="0" w:space="0" w:color="auto"/>
        <w:left w:val="none" w:sz="0" w:space="0" w:color="auto"/>
        <w:bottom w:val="none" w:sz="0" w:space="0" w:color="auto"/>
        <w:right w:val="none" w:sz="0" w:space="0" w:color="auto"/>
      </w:divBdr>
    </w:div>
    <w:div w:id="1829786671">
      <w:bodyDiv w:val="1"/>
      <w:marLeft w:val="0"/>
      <w:marRight w:val="0"/>
      <w:marTop w:val="0"/>
      <w:marBottom w:val="0"/>
      <w:divBdr>
        <w:top w:val="none" w:sz="0" w:space="0" w:color="auto"/>
        <w:left w:val="none" w:sz="0" w:space="0" w:color="auto"/>
        <w:bottom w:val="none" w:sz="0" w:space="0" w:color="auto"/>
        <w:right w:val="none" w:sz="0" w:space="0" w:color="auto"/>
      </w:divBdr>
    </w:div>
    <w:div w:id="1883444255">
      <w:bodyDiv w:val="1"/>
      <w:marLeft w:val="0"/>
      <w:marRight w:val="0"/>
      <w:marTop w:val="0"/>
      <w:marBottom w:val="0"/>
      <w:divBdr>
        <w:top w:val="none" w:sz="0" w:space="0" w:color="auto"/>
        <w:left w:val="none" w:sz="0" w:space="0" w:color="auto"/>
        <w:bottom w:val="none" w:sz="0" w:space="0" w:color="auto"/>
        <w:right w:val="none" w:sz="0" w:space="0" w:color="auto"/>
      </w:divBdr>
    </w:div>
    <w:div w:id="2130707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DavisLangd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ilskok:Library:Caches:TemporaryItems:Outlook%20Temp:EB_NC_by-ye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ilskok:Dropbox:Greenbuild%20Dropbox:Survey%20Results%20--%20Top%20Line%20for%20Narrative%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ilskok:Dropbox:Greenbuild%20Dropbox:Survey%20Results%20--%20Top%20Line%20for%20Narrative%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ilskok:Dropbox:Greenbuild%20Dropbox:Survey%20Results%20--%20Top%20Line%20for%20Narrative%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nilskok:Dropbox:Greenbuild%20Dropbox:Survey%20Results%20--%20Top%20Line%20for%20Narrative%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nilskok:Dropbox:Greenbuild%20Dropbox:01%20Costar%20Ave%20Rents%20and%20Lease%20Percents%20by%20Major%20Mark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nilskok:Dropbox:Greenbuild%20Dropbox:01%20Costar%20Ave%20Rents%20and%20Lease%20Percents%20by%20Major%20Market.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stacked"/>
        <c:varyColors val="0"/>
        <c:ser>
          <c:idx val="0"/>
          <c:order val="0"/>
          <c:tx>
            <c:v>New Construction (NC)</c:v>
          </c:tx>
          <c:invertIfNegative val="0"/>
          <c:cat>
            <c:numRef>
              <c:f>'LEED EB'!$F$3:$F$14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'LEED EB'!$H$3:$H$14</c:f>
              <c:numCache>
                <c:formatCode>#,##0</c:formatCode>
                <c:ptCount val="12"/>
                <c:pt idx="0">
                  <c:v>0.83777800000000002</c:v>
                </c:pt>
                <c:pt idx="1">
                  <c:v>0.97416499999999995</c:v>
                </c:pt>
                <c:pt idx="2">
                  <c:v>2.2056960000000001</c:v>
                </c:pt>
                <c:pt idx="3">
                  <c:v>5.671085999999991</c:v>
                </c:pt>
                <c:pt idx="4">
                  <c:v>8.6166789999999995</c:v>
                </c:pt>
                <c:pt idx="5">
                  <c:v>16.063324000000001</c:v>
                </c:pt>
                <c:pt idx="6">
                  <c:v>23.210318999999991</c:v>
                </c:pt>
                <c:pt idx="7">
                  <c:v>39.441109700000013</c:v>
                </c:pt>
                <c:pt idx="8">
                  <c:v>64.47890049999998</c:v>
                </c:pt>
                <c:pt idx="9">
                  <c:v>143.79820129999999</c:v>
                </c:pt>
                <c:pt idx="10">
                  <c:v>163.63612578999999</c:v>
                </c:pt>
                <c:pt idx="11">
                  <c:v>128.98047918</c:v>
                </c:pt>
              </c:numCache>
            </c:numRef>
          </c:val>
        </c:ser>
        <c:ser>
          <c:idx val="1"/>
          <c:order val="1"/>
          <c:tx>
            <c:v>Existing Buildings (EB)</c:v>
          </c:tx>
          <c:invertIfNegative val="0"/>
          <c:val>
            <c:numRef>
              <c:f>'LEED EB'!$C$3:$C$14</c:f>
              <c:numCache>
                <c:formatCode>#,##0</c:formatCode>
                <c:ptCount val="12"/>
                <c:pt idx="0">
                  <c:v>0</c:v>
                </c:pt>
                <c:pt idx="1">
                  <c:v>0</c:v>
                </c:pt>
                <c:pt idx="2">
                  <c:v>6.3016000000000003E-2</c:v>
                </c:pt>
                <c:pt idx="3">
                  <c:v>1.651</c:v>
                </c:pt>
                <c:pt idx="4">
                  <c:v>3.328276999999999</c:v>
                </c:pt>
                <c:pt idx="5">
                  <c:v>4.134164999999987</c:v>
                </c:pt>
                <c:pt idx="6">
                  <c:v>5.8545149999999753</c:v>
                </c:pt>
                <c:pt idx="7">
                  <c:v>14.422834</c:v>
                </c:pt>
                <c:pt idx="8">
                  <c:v>25.449494999999999</c:v>
                </c:pt>
                <c:pt idx="9">
                  <c:v>141.49395213</c:v>
                </c:pt>
                <c:pt idx="10">
                  <c:v>239.68049176</c:v>
                </c:pt>
                <c:pt idx="11">
                  <c:v>165.77724990999999</c:v>
                </c:pt>
              </c:numCache>
            </c:numRef>
          </c:val>
        </c:ser>
        <c:dLbls>
          <c:showLegendKey val="0"/>
          <c:showVal val="0"/>
          <c:showCatName val="0"/>
          <c:showSerName val="0"/>
          <c:showPercent val="0"/>
          <c:showBubbleSize val="0"/>
        </c:dLbls>
        <c:gapWidth val="150"/>
        <c:overlap val="100"/>
        <c:axId val="172971904"/>
        <c:axId val="172973440"/>
      </c:barChart>
      <c:catAx>
        <c:axId val="172971904"/>
        <c:scaling>
          <c:orientation val="minMax"/>
        </c:scaling>
        <c:delete val="0"/>
        <c:axPos val="b"/>
        <c:numFmt formatCode="General" sourceLinked="1"/>
        <c:majorTickMark val="out"/>
        <c:minorTickMark val="none"/>
        <c:tickLblPos val="nextTo"/>
        <c:txPr>
          <a:bodyPr/>
          <a:lstStyle/>
          <a:p>
            <a:pPr>
              <a:defRPr>
                <a:latin typeface="Times New Roman"/>
                <a:cs typeface="Times New Roman"/>
              </a:defRPr>
            </a:pPr>
            <a:endParaRPr lang="en-US"/>
          </a:p>
        </c:txPr>
        <c:crossAx val="172973440"/>
        <c:crosses val="autoZero"/>
        <c:auto val="1"/>
        <c:lblAlgn val="ctr"/>
        <c:lblOffset val="100"/>
        <c:noMultiLvlLbl val="0"/>
      </c:catAx>
      <c:valAx>
        <c:axId val="172973440"/>
        <c:scaling>
          <c:orientation val="minMax"/>
        </c:scaling>
        <c:delete val="0"/>
        <c:axPos val="l"/>
        <c:majorGridlines/>
        <c:title>
          <c:tx>
            <c:rich>
              <a:bodyPr rot="-5400000" vert="horz"/>
              <a:lstStyle/>
              <a:p>
                <a:pPr>
                  <a:defRPr>
                    <a:latin typeface="Times New Roman"/>
                    <a:cs typeface="Times New Roman"/>
                  </a:defRPr>
                </a:pPr>
                <a:r>
                  <a:rPr lang="en-US">
                    <a:latin typeface="Times New Roman"/>
                    <a:cs typeface="Times New Roman"/>
                  </a:rPr>
                  <a:t>Square Feet (in millions)</a:t>
                </a:r>
              </a:p>
            </c:rich>
          </c:tx>
          <c:overlay val="0"/>
        </c:title>
        <c:numFmt formatCode="#,##0" sourceLinked="1"/>
        <c:majorTickMark val="out"/>
        <c:minorTickMark val="none"/>
        <c:tickLblPos val="nextTo"/>
        <c:txPr>
          <a:bodyPr/>
          <a:lstStyle/>
          <a:p>
            <a:pPr>
              <a:defRPr>
                <a:latin typeface="Times New Roman"/>
                <a:cs typeface="Times New Roman"/>
              </a:defRPr>
            </a:pPr>
            <a:endParaRPr lang="en-US"/>
          </a:p>
        </c:txPr>
        <c:crossAx val="172971904"/>
        <c:crosses val="autoZero"/>
        <c:crossBetween val="between"/>
      </c:valAx>
    </c:plotArea>
    <c:legend>
      <c:legendPos val="b"/>
      <c:overlay val="0"/>
      <c:txPr>
        <a:bodyPr/>
        <a:lstStyle/>
        <a:p>
          <a:pPr>
            <a:defRPr>
              <a:latin typeface="Times New Roman"/>
              <a:cs typeface="Times New Roman"/>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pieChart>
        <c:varyColors val="1"/>
        <c:ser>
          <c:idx val="0"/>
          <c:order val="0"/>
          <c:dLbls>
            <c:txPr>
              <a:bodyPr/>
              <a:lstStyle/>
              <a:p>
                <a:pPr>
                  <a:defRPr>
                    <a:latin typeface="Times New Roman"/>
                    <a:cs typeface="Times New Roman"/>
                  </a:defRPr>
                </a:pPr>
                <a:endParaRPr lang="en-US"/>
              </a:p>
            </c:txPr>
            <c:dLblPos val="ctr"/>
            <c:showLegendKey val="0"/>
            <c:showVal val="1"/>
            <c:showCatName val="0"/>
            <c:showSerName val="0"/>
            <c:showPercent val="0"/>
            <c:showBubbleSize val="0"/>
            <c:showLeaderLines val="1"/>
          </c:dLbls>
          <c:cat>
            <c:strRef>
              <c:f>'LEED Building Survey Results'!$G$47:$G$51</c:f>
              <c:strCache>
                <c:ptCount val="5"/>
                <c:pt idx="0">
                  <c:v>&lt; 30 percent</c:v>
                </c:pt>
                <c:pt idx="1">
                  <c:v>40 - 60 percent</c:v>
                </c:pt>
                <c:pt idx="2">
                  <c:v>70 - 90 percent</c:v>
                </c:pt>
                <c:pt idx="3">
                  <c:v>100 percent</c:v>
                </c:pt>
                <c:pt idx="4">
                  <c:v>Impossible to separate</c:v>
                </c:pt>
              </c:strCache>
            </c:strRef>
          </c:cat>
          <c:val>
            <c:numRef>
              <c:f>'LEED Building Survey Results'!$F$47:$F$51</c:f>
              <c:numCache>
                <c:formatCode>0.0%</c:formatCode>
                <c:ptCount val="5"/>
                <c:pt idx="0">
                  <c:v>0.36299999999999999</c:v>
                </c:pt>
                <c:pt idx="1">
                  <c:v>0.09</c:v>
                </c:pt>
                <c:pt idx="2">
                  <c:v>0.22700000000000001</c:v>
                </c:pt>
                <c:pt idx="3" formatCode="0%">
                  <c:v>0.13600000000000001</c:v>
                </c:pt>
                <c:pt idx="4">
                  <c:v>0.182</c:v>
                </c:pt>
              </c:numCache>
            </c:numRef>
          </c:val>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a:latin typeface="Times New Roman"/>
              <a:cs typeface="Times New Roman"/>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barChart>
        <c:barDir val="col"/>
        <c:grouping val="clustered"/>
        <c:varyColors val="0"/>
        <c:ser>
          <c:idx val="0"/>
          <c:order val="0"/>
          <c:invertIfNegative val="0"/>
          <c:cat>
            <c:strRef>
              <c:f>'LEED Building Survey Results'!$B$64:$B$73</c:f>
              <c:strCache>
                <c:ptCount val="10"/>
                <c:pt idx="0">
                  <c:v>Windows</c:v>
                </c:pt>
                <c:pt idx="1">
                  <c:v>Insulation</c:v>
                </c:pt>
                <c:pt idx="2">
                  <c:v>Floors</c:v>
                </c:pt>
                <c:pt idx="3">
                  <c:v>Roof</c:v>
                </c:pt>
                <c:pt idx="4">
                  <c:v>Irrigation systems/rain capture</c:v>
                </c:pt>
                <c:pt idx="5">
                  <c:v>Motion detectors</c:v>
                </c:pt>
                <c:pt idx="6">
                  <c:v>Recycling containers</c:v>
                </c:pt>
                <c:pt idx="7">
                  <c:v>Water flow systems</c:v>
                </c:pt>
                <c:pt idx="8">
                  <c:v>HVAC</c:v>
                </c:pt>
                <c:pt idx="9">
                  <c:v>Lighting</c:v>
                </c:pt>
              </c:strCache>
            </c:strRef>
          </c:cat>
          <c:val>
            <c:numRef>
              <c:f>'LEED Building Survey Results'!$D$64:$D$73</c:f>
              <c:numCache>
                <c:formatCode>0%</c:formatCode>
                <c:ptCount val="10"/>
                <c:pt idx="0">
                  <c:v>4.2000000000000003E-2</c:v>
                </c:pt>
                <c:pt idx="1">
                  <c:v>8.3000000000000004E-2</c:v>
                </c:pt>
                <c:pt idx="2">
                  <c:v>0.16700000000000001</c:v>
                </c:pt>
                <c:pt idx="3">
                  <c:v>0.29199999999999998</c:v>
                </c:pt>
                <c:pt idx="4">
                  <c:v>0.41699999999999998</c:v>
                </c:pt>
                <c:pt idx="5">
                  <c:v>0.54200000000000004</c:v>
                </c:pt>
                <c:pt idx="6">
                  <c:v>0.70799999999999996</c:v>
                </c:pt>
                <c:pt idx="7">
                  <c:v>0.83299999999999996</c:v>
                </c:pt>
                <c:pt idx="8">
                  <c:v>0.83299999999999996</c:v>
                </c:pt>
                <c:pt idx="9">
                  <c:v>0.875</c:v>
                </c:pt>
              </c:numCache>
            </c:numRef>
          </c:val>
        </c:ser>
        <c:dLbls>
          <c:showLegendKey val="0"/>
          <c:showVal val="0"/>
          <c:showCatName val="0"/>
          <c:showSerName val="0"/>
          <c:showPercent val="0"/>
          <c:showBubbleSize val="0"/>
        </c:dLbls>
        <c:gapWidth val="150"/>
        <c:axId val="146398208"/>
        <c:axId val="89924352"/>
      </c:barChart>
      <c:catAx>
        <c:axId val="146398208"/>
        <c:scaling>
          <c:orientation val="minMax"/>
        </c:scaling>
        <c:delete val="0"/>
        <c:axPos val="b"/>
        <c:majorTickMark val="out"/>
        <c:minorTickMark val="none"/>
        <c:tickLblPos val="nextTo"/>
        <c:crossAx val="89924352"/>
        <c:crosses val="autoZero"/>
        <c:auto val="1"/>
        <c:lblAlgn val="ctr"/>
        <c:lblOffset val="100"/>
        <c:noMultiLvlLbl val="0"/>
      </c:catAx>
      <c:valAx>
        <c:axId val="89924352"/>
        <c:scaling>
          <c:orientation val="minMax"/>
        </c:scaling>
        <c:delete val="0"/>
        <c:axPos val="l"/>
        <c:majorGridlines/>
        <c:numFmt formatCode="0%" sourceLinked="1"/>
        <c:majorTickMark val="out"/>
        <c:minorTickMark val="none"/>
        <c:tickLblPos val="nextTo"/>
        <c:crossAx val="146398208"/>
        <c:crosses val="autoZero"/>
        <c:crossBetween val="between"/>
        <c:majorUnit val="0.2"/>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pieChart>
        <c:varyColors val="1"/>
        <c:ser>
          <c:idx val="0"/>
          <c:order val="0"/>
          <c:dLbls>
            <c:txPr>
              <a:bodyPr/>
              <a:lstStyle/>
              <a:p>
                <a:pPr>
                  <a:defRPr>
                    <a:latin typeface="Times New Roman"/>
                    <a:cs typeface="Times New Roman"/>
                  </a:defRPr>
                </a:pPr>
                <a:endParaRPr lang="en-US"/>
              </a:p>
            </c:txPr>
            <c:dLblPos val="ctr"/>
            <c:showLegendKey val="0"/>
            <c:showVal val="1"/>
            <c:showCatName val="0"/>
            <c:showSerName val="0"/>
            <c:showPercent val="0"/>
            <c:showBubbleSize val="0"/>
            <c:showLeaderLines val="1"/>
          </c:dLbls>
          <c:cat>
            <c:strRef>
              <c:f>'LEED Building Survey Results'!$G$318:$G$321</c:f>
              <c:strCache>
                <c:ptCount val="4"/>
                <c:pt idx="0">
                  <c:v>&lt; 5 years</c:v>
                </c:pt>
                <c:pt idx="1">
                  <c:v>5-10 years</c:v>
                </c:pt>
                <c:pt idx="2">
                  <c:v>&gt; 10 years</c:v>
                </c:pt>
                <c:pt idx="3">
                  <c:v>Impossible to estimate</c:v>
                </c:pt>
              </c:strCache>
            </c:strRef>
          </c:cat>
          <c:val>
            <c:numRef>
              <c:f>'LEED Building Survey Results'!$F$318:$F$321</c:f>
              <c:numCache>
                <c:formatCode>0.0%</c:formatCode>
                <c:ptCount val="4"/>
                <c:pt idx="0">
                  <c:v>0.45400000000000001</c:v>
                </c:pt>
                <c:pt idx="1">
                  <c:v>0.318</c:v>
                </c:pt>
                <c:pt idx="2">
                  <c:v>9.0999999999999998E-2</c:v>
                </c:pt>
                <c:pt idx="3">
                  <c:v>0.13600000000000001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a:cs typeface="Times New Roman"/>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pieChart>
        <c:varyColors val="1"/>
        <c:ser>
          <c:idx val="0"/>
          <c:order val="0"/>
          <c:dLbls>
            <c:dLbl>
              <c:idx val="2"/>
              <c:layout>
                <c:manualLayout>
                  <c:x val="-5.7121391076115503E-2"/>
                  <c:y val="-9.8656313794108996E-2"/>
                </c:manualLayout>
              </c:layout>
              <c:dLblPos val="bestFit"/>
              <c:showLegendKey val="0"/>
              <c:showVal val="1"/>
              <c:showCatName val="0"/>
              <c:showSerName val="0"/>
              <c:showPercent val="0"/>
              <c:showBubbleSize val="0"/>
            </c:dLbl>
            <c:txPr>
              <a:bodyPr/>
              <a:lstStyle/>
              <a:p>
                <a:pPr>
                  <a:defRPr>
                    <a:latin typeface="Times New Roman"/>
                    <a:cs typeface="Times New Roman"/>
                  </a:defRPr>
                </a:pPr>
                <a:endParaRPr lang="en-US"/>
              </a:p>
            </c:txPr>
            <c:dLblPos val="ctr"/>
            <c:showLegendKey val="0"/>
            <c:showVal val="1"/>
            <c:showCatName val="0"/>
            <c:showSerName val="0"/>
            <c:showPercent val="0"/>
            <c:showBubbleSize val="0"/>
            <c:showLeaderLines val="1"/>
          </c:dLbls>
          <c:cat>
            <c:strRef>
              <c:f>'LEED Building Survey Results'!$B$227:$B$230</c:f>
              <c:strCache>
                <c:ptCount val="4"/>
                <c:pt idx="0">
                  <c:v>+1% to 5%</c:v>
                </c:pt>
                <c:pt idx="1">
                  <c:v>+6% to 10%</c:v>
                </c:pt>
                <c:pt idx="2">
                  <c:v>+11% to 15%</c:v>
                </c:pt>
                <c:pt idx="3">
                  <c:v>No Difference</c:v>
                </c:pt>
              </c:strCache>
            </c:strRef>
          </c:cat>
          <c:val>
            <c:numRef>
              <c:f>'LEED Building Survey Results'!$D$227:$D$230</c:f>
              <c:numCache>
                <c:formatCode>0.0%</c:formatCode>
                <c:ptCount val="4"/>
                <c:pt idx="0">
                  <c:v>0.217</c:v>
                </c:pt>
                <c:pt idx="1">
                  <c:v>0.17399999999999999</c:v>
                </c:pt>
                <c:pt idx="2">
                  <c:v>4.2999999999999997E-2</c:v>
                </c:pt>
                <c:pt idx="3">
                  <c:v>0.56499999999999995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a:cs typeface="Times New Roman"/>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72776257841"/>
          <c:y val="4.92188498178949E-2"/>
          <c:w val="0.88713565554936902"/>
          <c:h val="0.72330869355616301"/>
        </c:manualLayout>
      </c:layout>
      <c:lineChart>
        <c:grouping val="standard"/>
        <c:varyColors val="0"/>
        <c:ser>
          <c:idx val="1"/>
          <c:order val="0"/>
          <c:tx>
            <c:v>Control Sample</c:v>
          </c:tx>
          <c:spPr>
            <a:ln w="25400">
              <a:solidFill>
                <a:schemeClr val="tx1"/>
              </a:solidFill>
              <a:prstDash val="solid"/>
            </a:ln>
          </c:spPr>
          <c:marker>
            <c:symbol val="none"/>
          </c:marker>
          <c:cat>
            <c:numRef>
              <c:f>'Charts on agg rents and occup'!$A$16:$A$27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'Charts on agg rents and occup'!$B$16:$B$27</c:f>
              <c:numCache>
                <c:formatCode>_("$"* #,##0.00_);_("$"* \(#,##0.00\);_("$"* "-"??_);_(@_)</c:formatCode>
                <c:ptCount val="12"/>
                <c:pt idx="0">
                  <c:v>32.065100000000001</c:v>
                </c:pt>
                <c:pt idx="1">
                  <c:v>38.181759999999997</c:v>
                </c:pt>
                <c:pt idx="2">
                  <c:v>33.693340000000013</c:v>
                </c:pt>
                <c:pt idx="3">
                  <c:v>32.196210000000001</c:v>
                </c:pt>
                <c:pt idx="4">
                  <c:v>30.386849999999999</c:v>
                </c:pt>
                <c:pt idx="5">
                  <c:v>30.992999999999981</c:v>
                </c:pt>
                <c:pt idx="6">
                  <c:v>32.127110000000002</c:v>
                </c:pt>
                <c:pt idx="7">
                  <c:v>36.093820000000001</c:v>
                </c:pt>
                <c:pt idx="8">
                  <c:v>41.193280000000001</c:v>
                </c:pt>
                <c:pt idx="9">
                  <c:v>37.800699999999999</c:v>
                </c:pt>
                <c:pt idx="10">
                  <c:v>32.652990000000003</c:v>
                </c:pt>
                <c:pt idx="11">
                  <c:v>33.878220000000013</c:v>
                </c:pt>
              </c:numCache>
            </c:numRef>
          </c:val>
          <c:smooth val="0"/>
        </c:ser>
        <c:ser>
          <c:idx val="2"/>
          <c:order val="1"/>
          <c:tx>
            <c:v>LEED Sample</c:v>
          </c:tx>
          <c:spPr>
            <a:ln w="25400">
              <a:solidFill>
                <a:srgbClr val="FF0000"/>
              </a:solidFill>
            </a:ln>
          </c:spPr>
          <c:marker>
            <c:symbol val="none"/>
          </c:marker>
          <c:dPt>
            <c:idx val="0"/>
            <c:bubble3D val="0"/>
            <c:spPr>
              <a:ln w="25400">
                <a:solidFill>
                  <a:srgbClr val="00B050"/>
                </a:solidFill>
              </a:ln>
            </c:spPr>
          </c:dPt>
          <c:dPt>
            <c:idx val="6"/>
            <c:bubble3D val="0"/>
            <c:spPr>
              <a:ln w="25400">
                <a:solidFill>
                  <a:srgbClr val="00B050"/>
                </a:solidFill>
              </a:ln>
            </c:spPr>
          </c:dPt>
          <c:dPt>
            <c:idx val="7"/>
            <c:bubble3D val="0"/>
            <c:spPr>
              <a:ln w="25400">
                <a:solidFill>
                  <a:srgbClr val="00B050"/>
                </a:solidFill>
              </a:ln>
            </c:spPr>
          </c:dPt>
          <c:dPt>
            <c:idx val="8"/>
            <c:bubble3D val="0"/>
            <c:spPr>
              <a:ln w="25400">
                <a:solidFill>
                  <a:srgbClr val="00B050"/>
                </a:solidFill>
              </a:ln>
            </c:spPr>
          </c:dPt>
          <c:dPt>
            <c:idx val="9"/>
            <c:bubble3D val="0"/>
            <c:spPr>
              <a:ln w="25400">
                <a:solidFill>
                  <a:srgbClr val="00B050"/>
                </a:solidFill>
              </a:ln>
            </c:spPr>
          </c:dPt>
          <c:dPt>
            <c:idx val="10"/>
            <c:bubble3D val="0"/>
            <c:spPr>
              <a:ln w="25400">
                <a:solidFill>
                  <a:srgbClr val="00B050"/>
                </a:solidFill>
              </a:ln>
            </c:spPr>
          </c:dPt>
          <c:dPt>
            <c:idx val="11"/>
            <c:bubble3D val="0"/>
            <c:spPr>
              <a:ln w="25400">
                <a:solidFill>
                  <a:srgbClr val="00B050"/>
                </a:solidFill>
              </a:ln>
            </c:spPr>
          </c:dPt>
          <c:cat>
            <c:numRef>
              <c:f>'Charts on agg rents and occup'!$A$16:$A$27</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'Charts on agg rents and occup'!$C$16:$C$27</c:f>
              <c:numCache>
                <c:formatCode>_("$"* #,##0.00_);_("$"* \(#,##0.00\);_("$"* "-"??_);_(@_)</c:formatCode>
                <c:ptCount val="12"/>
                <c:pt idx="0">
                  <c:v>33.301469999999988</c:v>
                </c:pt>
                <c:pt idx="1">
                  <c:v>36.893349999999998</c:v>
                </c:pt>
                <c:pt idx="2">
                  <c:v>31.327760000000001</c:v>
                </c:pt>
                <c:pt idx="3">
                  <c:v>28.78879999999997</c:v>
                </c:pt>
                <c:pt idx="4">
                  <c:v>26.584700000000002</c:v>
                </c:pt>
                <c:pt idx="5">
                  <c:v>28.551310000000001</c:v>
                </c:pt>
                <c:pt idx="6">
                  <c:v>31.934640000000002</c:v>
                </c:pt>
                <c:pt idx="7">
                  <c:v>37.376069999999999</c:v>
                </c:pt>
                <c:pt idx="8">
                  <c:v>44.307879999999997</c:v>
                </c:pt>
                <c:pt idx="9">
                  <c:v>41.636589999999998</c:v>
                </c:pt>
                <c:pt idx="10">
                  <c:v>36.545080000000013</c:v>
                </c:pt>
                <c:pt idx="11">
                  <c:v>36.727370000000001</c:v>
                </c:pt>
              </c:numCache>
            </c:numRef>
          </c:val>
          <c:smooth val="0"/>
        </c:ser>
        <c:dLbls>
          <c:showLegendKey val="0"/>
          <c:showVal val="0"/>
          <c:showCatName val="0"/>
          <c:showSerName val="0"/>
          <c:showPercent val="0"/>
          <c:showBubbleSize val="0"/>
        </c:dLbls>
        <c:marker val="1"/>
        <c:smooth val="0"/>
        <c:axId val="198300032"/>
        <c:axId val="198301568"/>
      </c:lineChart>
      <c:catAx>
        <c:axId val="198300032"/>
        <c:scaling>
          <c:orientation val="minMax"/>
        </c:scaling>
        <c:delete val="0"/>
        <c:axPos val="b"/>
        <c:numFmt formatCode="General" sourceLinked="1"/>
        <c:majorTickMark val="none"/>
        <c:minorTickMark val="none"/>
        <c:tickLblPos val="nextTo"/>
        <c:txPr>
          <a:bodyPr/>
          <a:lstStyle/>
          <a:p>
            <a:pPr>
              <a:defRPr sz="1000">
                <a:latin typeface="Times New Roman"/>
                <a:cs typeface="Times New Roman"/>
              </a:defRPr>
            </a:pPr>
            <a:endParaRPr lang="en-US"/>
          </a:p>
        </c:txPr>
        <c:crossAx val="198301568"/>
        <c:crosses val="autoZero"/>
        <c:auto val="1"/>
        <c:lblAlgn val="ctr"/>
        <c:lblOffset val="100"/>
        <c:noMultiLvlLbl val="0"/>
      </c:catAx>
      <c:valAx>
        <c:axId val="198301568"/>
        <c:scaling>
          <c:orientation val="minMax"/>
          <c:max val="50"/>
          <c:min val="20"/>
        </c:scaling>
        <c:delete val="0"/>
        <c:axPos val="l"/>
        <c:majorGridlines/>
        <c:numFmt formatCode="_(&quot;$&quot;* #,##0.00_);_(&quot;$&quot;* \(#,##0.00\);_(&quot;$&quot;* &quot;-&quot;??_);_(@_)" sourceLinked="1"/>
        <c:majorTickMark val="none"/>
        <c:minorTickMark val="none"/>
        <c:tickLblPos val="nextTo"/>
        <c:txPr>
          <a:bodyPr/>
          <a:lstStyle/>
          <a:p>
            <a:pPr>
              <a:defRPr sz="1000">
                <a:latin typeface="Times New Roman"/>
                <a:cs typeface="Times New Roman"/>
              </a:defRPr>
            </a:pPr>
            <a:endParaRPr lang="en-US"/>
          </a:p>
        </c:txPr>
        <c:crossAx val="198300032"/>
        <c:crosses val="autoZero"/>
        <c:crossBetween val="between"/>
      </c:valAx>
    </c:plotArea>
    <c:legend>
      <c:legendPos val="b"/>
      <c:layout>
        <c:manualLayout>
          <c:xMode val="edge"/>
          <c:yMode val="edge"/>
          <c:x val="0.212774839850527"/>
          <c:y val="0.86409942804768503"/>
          <c:w val="0.58504354063792896"/>
          <c:h val="7.1652650561536899E-2"/>
        </c:manualLayout>
      </c:layout>
      <c:overlay val="0"/>
      <c:txPr>
        <a:bodyPr/>
        <a:lstStyle/>
        <a:p>
          <a:pPr>
            <a:defRPr sz="1000">
              <a:latin typeface="Times New Roman"/>
              <a:cs typeface="Times New Roman"/>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73886184367305E-2"/>
          <c:y val="5.1845657651061403E-2"/>
          <c:w val="0.89387962868277904"/>
          <c:h val="0.792116228841652"/>
        </c:manualLayout>
      </c:layout>
      <c:lineChart>
        <c:grouping val="standard"/>
        <c:varyColors val="0"/>
        <c:ser>
          <c:idx val="1"/>
          <c:order val="0"/>
          <c:tx>
            <c:strRef>
              <c:f>'Charts on agg rents and occup'!$B$1</c:f>
              <c:strCache>
                <c:ptCount val="1"/>
                <c:pt idx="0">
                  <c:v>Control Sample</c:v>
                </c:pt>
              </c:strCache>
            </c:strRef>
          </c:tx>
          <c:spPr>
            <a:ln w="25400">
              <a:solidFill>
                <a:schemeClr val="tx1"/>
              </a:solidFill>
            </a:ln>
          </c:spPr>
          <c:marker>
            <c:symbol val="none"/>
          </c:marker>
          <c:cat>
            <c:numRef>
              <c:f>'Charts on agg rents and occup'!$A$2:$A$13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'Charts on agg rents and occup'!$B$2:$B$13</c:f>
              <c:numCache>
                <c:formatCode>0%</c:formatCode>
                <c:ptCount val="12"/>
                <c:pt idx="0">
                  <c:v>0.919242</c:v>
                </c:pt>
                <c:pt idx="1">
                  <c:v>0.92257500000000003</c:v>
                </c:pt>
                <c:pt idx="2">
                  <c:v>0.90320199999999995</c:v>
                </c:pt>
                <c:pt idx="3">
                  <c:v>0.888123</c:v>
                </c:pt>
                <c:pt idx="4">
                  <c:v>0.87834500000000004</c:v>
                </c:pt>
                <c:pt idx="5">
                  <c:v>0.88458400000000004</c:v>
                </c:pt>
                <c:pt idx="6">
                  <c:v>0.92053099999999999</c:v>
                </c:pt>
                <c:pt idx="7">
                  <c:v>0.92732400000000004</c:v>
                </c:pt>
                <c:pt idx="8">
                  <c:v>0.92413599999999996</c:v>
                </c:pt>
                <c:pt idx="9">
                  <c:v>0.91355900000000001</c:v>
                </c:pt>
                <c:pt idx="10">
                  <c:v>0.89906399999999997</c:v>
                </c:pt>
                <c:pt idx="11">
                  <c:v>0.89538600000000002</c:v>
                </c:pt>
              </c:numCache>
            </c:numRef>
          </c:val>
          <c:smooth val="0"/>
        </c:ser>
        <c:ser>
          <c:idx val="2"/>
          <c:order val="1"/>
          <c:tx>
            <c:strRef>
              <c:f>'Charts on agg rents and occup'!$C$1</c:f>
              <c:strCache>
                <c:ptCount val="1"/>
                <c:pt idx="0">
                  <c:v>LEED Sample</c:v>
                </c:pt>
              </c:strCache>
            </c:strRef>
          </c:tx>
          <c:spPr>
            <a:ln w="25400">
              <a:solidFill>
                <a:srgbClr val="FF0000"/>
              </a:solidFill>
              <a:prstDash val="solid"/>
            </a:ln>
          </c:spPr>
          <c:marker>
            <c:symbol val="none"/>
          </c:marker>
          <c:dPt>
            <c:idx val="6"/>
            <c:bubble3D val="0"/>
            <c:spPr>
              <a:ln w="25400">
                <a:solidFill>
                  <a:srgbClr val="008000"/>
                </a:solidFill>
                <a:prstDash val="solid"/>
              </a:ln>
            </c:spPr>
          </c:dPt>
          <c:dPt>
            <c:idx val="7"/>
            <c:bubble3D val="0"/>
            <c:spPr>
              <a:ln w="25400">
                <a:solidFill>
                  <a:srgbClr val="008000"/>
                </a:solidFill>
                <a:prstDash val="solid"/>
              </a:ln>
            </c:spPr>
          </c:dPt>
          <c:dPt>
            <c:idx val="8"/>
            <c:bubble3D val="0"/>
            <c:spPr>
              <a:ln w="25400">
                <a:solidFill>
                  <a:srgbClr val="008000"/>
                </a:solidFill>
                <a:prstDash val="solid"/>
              </a:ln>
            </c:spPr>
          </c:dPt>
          <c:dPt>
            <c:idx val="9"/>
            <c:bubble3D val="0"/>
            <c:spPr>
              <a:ln w="25400">
                <a:solidFill>
                  <a:srgbClr val="008000"/>
                </a:solidFill>
                <a:prstDash val="solid"/>
              </a:ln>
            </c:spPr>
          </c:dPt>
          <c:dPt>
            <c:idx val="10"/>
            <c:bubble3D val="0"/>
            <c:spPr>
              <a:ln w="25400">
                <a:solidFill>
                  <a:srgbClr val="008000"/>
                </a:solidFill>
                <a:prstDash val="solid"/>
              </a:ln>
            </c:spPr>
          </c:dPt>
          <c:dPt>
            <c:idx val="11"/>
            <c:bubble3D val="0"/>
            <c:spPr>
              <a:ln w="25400">
                <a:solidFill>
                  <a:srgbClr val="008000"/>
                </a:solidFill>
                <a:prstDash val="solid"/>
              </a:ln>
            </c:spPr>
          </c:dPt>
          <c:cat>
            <c:numRef>
              <c:f>'Charts on agg rents and occup'!$A$2:$A$13</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'Charts on agg rents and occup'!$C$2:$C$13</c:f>
              <c:numCache>
                <c:formatCode>0%</c:formatCode>
                <c:ptCount val="12"/>
                <c:pt idx="0">
                  <c:v>0.86970800000000004</c:v>
                </c:pt>
                <c:pt idx="1">
                  <c:v>0.86783999999999994</c:v>
                </c:pt>
                <c:pt idx="2">
                  <c:v>0.85158800000000001</c:v>
                </c:pt>
                <c:pt idx="3">
                  <c:v>0.831928</c:v>
                </c:pt>
                <c:pt idx="4">
                  <c:v>0.81728000000000001</c:v>
                </c:pt>
                <c:pt idx="5">
                  <c:v>0.80987900000000002</c:v>
                </c:pt>
                <c:pt idx="6">
                  <c:v>0.85528300000000002</c:v>
                </c:pt>
                <c:pt idx="7">
                  <c:v>0.86720900000000001</c:v>
                </c:pt>
                <c:pt idx="8">
                  <c:v>0.90794799999999998</c:v>
                </c:pt>
                <c:pt idx="9">
                  <c:v>0.88631899999999997</c:v>
                </c:pt>
                <c:pt idx="10">
                  <c:v>0.87109099999999995</c:v>
                </c:pt>
                <c:pt idx="11">
                  <c:v>0.87645799999999996</c:v>
                </c:pt>
              </c:numCache>
            </c:numRef>
          </c:val>
          <c:smooth val="0"/>
        </c:ser>
        <c:dLbls>
          <c:showLegendKey val="0"/>
          <c:showVal val="0"/>
          <c:showCatName val="0"/>
          <c:showSerName val="0"/>
          <c:showPercent val="0"/>
          <c:showBubbleSize val="0"/>
        </c:dLbls>
        <c:marker val="1"/>
        <c:smooth val="0"/>
        <c:axId val="146621184"/>
        <c:axId val="146622720"/>
      </c:lineChart>
      <c:catAx>
        <c:axId val="146621184"/>
        <c:scaling>
          <c:orientation val="minMax"/>
        </c:scaling>
        <c:delete val="0"/>
        <c:axPos val="b"/>
        <c:numFmt formatCode="General" sourceLinked="1"/>
        <c:majorTickMark val="none"/>
        <c:minorTickMark val="none"/>
        <c:tickLblPos val="nextTo"/>
        <c:txPr>
          <a:bodyPr/>
          <a:lstStyle/>
          <a:p>
            <a:pPr>
              <a:defRPr sz="1000">
                <a:latin typeface="Times New Roman"/>
                <a:cs typeface="Times New Roman"/>
              </a:defRPr>
            </a:pPr>
            <a:endParaRPr lang="en-US"/>
          </a:p>
        </c:txPr>
        <c:crossAx val="146622720"/>
        <c:crosses val="autoZero"/>
        <c:auto val="1"/>
        <c:lblAlgn val="ctr"/>
        <c:lblOffset val="100"/>
        <c:noMultiLvlLbl val="0"/>
      </c:catAx>
      <c:valAx>
        <c:axId val="146622720"/>
        <c:scaling>
          <c:orientation val="minMax"/>
        </c:scaling>
        <c:delete val="0"/>
        <c:axPos val="l"/>
        <c:majorGridlines/>
        <c:numFmt formatCode="0%" sourceLinked="1"/>
        <c:majorTickMark val="none"/>
        <c:minorTickMark val="none"/>
        <c:tickLblPos val="nextTo"/>
        <c:txPr>
          <a:bodyPr/>
          <a:lstStyle/>
          <a:p>
            <a:pPr>
              <a:defRPr sz="1000">
                <a:latin typeface="Times New Roman"/>
                <a:cs typeface="Times New Roman"/>
              </a:defRPr>
            </a:pPr>
            <a:endParaRPr lang="en-US"/>
          </a:p>
        </c:txPr>
        <c:crossAx val="146621184"/>
        <c:crosses val="autoZero"/>
        <c:crossBetween val="between"/>
      </c:valAx>
    </c:plotArea>
    <c:legend>
      <c:legendPos val="b"/>
      <c:layout>
        <c:manualLayout>
          <c:xMode val="edge"/>
          <c:yMode val="edge"/>
          <c:x val="0.206200027515862"/>
          <c:y val="0.92735903701692501"/>
          <c:w val="0.59843543531052901"/>
          <c:h val="7.2640962983075402E-2"/>
        </c:manualLayout>
      </c:layout>
      <c:overlay val="0"/>
      <c:txPr>
        <a:bodyPr/>
        <a:lstStyle/>
        <a:p>
          <a:pPr>
            <a:defRPr sz="1000">
              <a:latin typeface="Times New Roman"/>
              <a:cs typeface="Times New Roman"/>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'Data for PPT'!$E$62</c:f>
              <c:strCache>
                <c:ptCount val="1"/>
                <c:pt idx="0">
                  <c:v>LEED</c:v>
                </c:pt>
              </c:strCache>
            </c:strRef>
          </c:tx>
          <c:spPr>
            <a:solidFill>
              <a:srgbClr val="9BBB59">
                <a:lumMod val="75000"/>
              </a:srgbClr>
            </a:solidFill>
            <a:ln>
              <a:solidFill>
                <a:sysClr val="windowText" lastClr="000000"/>
              </a:solidFill>
            </a:ln>
          </c:spPr>
          <c:invertIfNegative val="0"/>
          <c:cat>
            <c:strRef>
              <c:f>'Data for PPT'!$A$63:$A$76</c:f>
              <c:strCache>
                <c:ptCount val="14"/>
                <c:pt idx="0">
                  <c:v>New York City</c:v>
                </c:pt>
                <c:pt idx="1">
                  <c:v>Washington DC</c:v>
                </c:pt>
                <c:pt idx="2">
                  <c:v>San Francisco</c:v>
                </c:pt>
                <c:pt idx="3">
                  <c:v>Houston</c:v>
                </c:pt>
                <c:pt idx="4">
                  <c:v>Los Angeles</c:v>
                </c:pt>
                <c:pt idx="5">
                  <c:v>Chicago</c:v>
                </c:pt>
                <c:pt idx="6">
                  <c:v>Seattle/Puget Sound</c:v>
                </c:pt>
                <c:pt idx="7">
                  <c:v>Boston</c:v>
                </c:pt>
                <c:pt idx="8">
                  <c:v>Orange (CA)</c:v>
                </c:pt>
                <c:pt idx="9">
                  <c:v>East Bay/Oakland</c:v>
                </c:pt>
                <c:pt idx="10">
                  <c:v>Denver</c:v>
                </c:pt>
                <c:pt idx="11">
                  <c:v>Atlanta</c:v>
                </c:pt>
                <c:pt idx="12">
                  <c:v>Dallas/Ft Worth</c:v>
                </c:pt>
                <c:pt idx="13">
                  <c:v>Minneapolis/St Paul</c:v>
                </c:pt>
              </c:strCache>
            </c:strRef>
          </c:cat>
          <c:val>
            <c:numRef>
              <c:f>'Data for PPT'!$E$63:$E$76</c:f>
              <c:numCache>
                <c:formatCode>"$"#,##0.00</c:formatCode>
                <c:ptCount val="14"/>
                <c:pt idx="0">
                  <c:v>67.77</c:v>
                </c:pt>
                <c:pt idx="1">
                  <c:v>45.95</c:v>
                </c:pt>
                <c:pt idx="2">
                  <c:v>31.41</c:v>
                </c:pt>
                <c:pt idx="3">
                  <c:v>32.17</c:v>
                </c:pt>
                <c:pt idx="4">
                  <c:v>33.049999999999997</c:v>
                </c:pt>
                <c:pt idx="5">
                  <c:v>29.53</c:v>
                </c:pt>
                <c:pt idx="6">
                  <c:v>28.93</c:v>
                </c:pt>
                <c:pt idx="7">
                  <c:v>47.08</c:v>
                </c:pt>
                <c:pt idx="8">
                  <c:v>27.58</c:v>
                </c:pt>
                <c:pt idx="9">
                  <c:v>27.6</c:v>
                </c:pt>
                <c:pt idx="10">
                  <c:v>25.86</c:v>
                </c:pt>
                <c:pt idx="11">
                  <c:v>21.6</c:v>
                </c:pt>
                <c:pt idx="12">
                  <c:v>25.65</c:v>
                </c:pt>
                <c:pt idx="13">
                  <c:v>18.2</c:v>
                </c:pt>
              </c:numCache>
            </c:numRef>
          </c:val>
        </c:ser>
        <c:ser>
          <c:idx val="1"/>
          <c:order val="1"/>
          <c:tx>
            <c:strRef>
              <c:f>'Data for PPT'!$F$62</c:f>
              <c:strCache>
                <c:ptCount val="1"/>
                <c:pt idx="0">
                  <c:v>Non-LEED</c:v>
                </c:pt>
              </c:strCache>
            </c:strRef>
          </c:tx>
          <c:spPr>
            <a:solidFill>
              <a:srgbClr val="9BBB59">
                <a:lumMod val="20000"/>
                <a:lumOff val="80000"/>
              </a:srgbClr>
            </a:solidFill>
            <a:ln>
              <a:solidFill>
                <a:sysClr val="windowText" lastClr="000000"/>
              </a:solidFill>
            </a:ln>
          </c:spPr>
          <c:invertIfNegative val="0"/>
          <c:cat>
            <c:strRef>
              <c:f>'Data for PPT'!$A$63:$A$76</c:f>
              <c:strCache>
                <c:ptCount val="14"/>
                <c:pt idx="0">
                  <c:v>New York City</c:v>
                </c:pt>
                <c:pt idx="1">
                  <c:v>Washington DC</c:v>
                </c:pt>
                <c:pt idx="2">
                  <c:v>San Francisco</c:v>
                </c:pt>
                <c:pt idx="3">
                  <c:v>Houston</c:v>
                </c:pt>
                <c:pt idx="4">
                  <c:v>Los Angeles</c:v>
                </c:pt>
                <c:pt idx="5">
                  <c:v>Chicago</c:v>
                </c:pt>
                <c:pt idx="6">
                  <c:v>Seattle/Puget Sound</c:v>
                </c:pt>
                <c:pt idx="7">
                  <c:v>Boston</c:v>
                </c:pt>
                <c:pt idx="8">
                  <c:v>Orange (CA)</c:v>
                </c:pt>
                <c:pt idx="9">
                  <c:v>East Bay/Oakland</c:v>
                </c:pt>
                <c:pt idx="10">
                  <c:v>Denver</c:v>
                </c:pt>
                <c:pt idx="11">
                  <c:v>Atlanta</c:v>
                </c:pt>
                <c:pt idx="12">
                  <c:v>Dallas/Ft Worth</c:v>
                </c:pt>
                <c:pt idx="13">
                  <c:v>Minneapolis/St Paul</c:v>
                </c:pt>
              </c:strCache>
            </c:strRef>
          </c:cat>
          <c:val>
            <c:numRef>
              <c:f>'Data for PPT'!$F$63:$F$76</c:f>
              <c:numCache>
                <c:formatCode>"$"#,##0.00</c:formatCode>
                <c:ptCount val="14"/>
                <c:pt idx="0">
                  <c:v>50.11</c:v>
                </c:pt>
                <c:pt idx="1">
                  <c:v>40.25</c:v>
                </c:pt>
                <c:pt idx="2">
                  <c:v>30.5</c:v>
                </c:pt>
                <c:pt idx="3">
                  <c:v>29.48</c:v>
                </c:pt>
                <c:pt idx="4">
                  <c:v>29.45</c:v>
                </c:pt>
                <c:pt idx="5">
                  <c:v>27.55</c:v>
                </c:pt>
                <c:pt idx="6">
                  <c:v>27.01</c:v>
                </c:pt>
                <c:pt idx="7">
                  <c:v>26.35</c:v>
                </c:pt>
                <c:pt idx="8">
                  <c:v>25.33</c:v>
                </c:pt>
                <c:pt idx="9">
                  <c:v>23.92</c:v>
                </c:pt>
                <c:pt idx="10">
                  <c:v>22.36</c:v>
                </c:pt>
                <c:pt idx="11">
                  <c:v>20.28</c:v>
                </c:pt>
                <c:pt idx="12">
                  <c:v>18.170000000000009</c:v>
                </c:pt>
                <c:pt idx="13">
                  <c:v>14.93</c:v>
                </c:pt>
              </c:numCache>
            </c:numRef>
          </c:val>
        </c:ser>
        <c:dLbls>
          <c:showLegendKey val="0"/>
          <c:showVal val="0"/>
          <c:showCatName val="0"/>
          <c:showSerName val="0"/>
          <c:showPercent val="0"/>
          <c:showBubbleSize val="0"/>
        </c:dLbls>
        <c:gapWidth val="150"/>
        <c:axId val="146655872"/>
        <c:axId val="146657664"/>
      </c:barChart>
      <c:catAx>
        <c:axId val="146655872"/>
        <c:scaling>
          <c:orientation val="minMax"/>
        </c:scaling>
        <c:delete val="0"/>
        <c:axPos val="b"/>
        <c:majorTickMark val="out"/>
        <c:minorTickMark val="none"/>
        <c:tickLblPos val="nextTo"/>
        <c:txPr>
          <a:bodyPr/>
          <a:lstStyle/>
          <a:p>
            <a:pPr>
              <a:defRPr b="0" i="0">
                <a:latin typeface="Times New Roman"/>
                <a:cs typeface="Tahoma" pitchFamily="34" charset="0"/>
              </a:defRPr>
            </a:pPr>
            <a:endParaRPr lang="en-US"/>
          </a:p>
        </c:txPr>
        <c:crossAx val="146657664"/>
        <c:crosses val="autoZero"/>
        <c:auto val="1"/>
        <c:lblAlgn val="ctr"/>
        <c:lblOffset val="100"/>
        <c:noMultiLvlLbl val="0"/>
      </c:catAx>
      <c:valAx>
        <c:axId val="146657664"/>
        <c:scaling>
          <c:orientation val="minMax"/>
          <c:max val="70"/>
        </c:scaling>
        <c:delete val="0"/>
        <c:axPos val="l"/>
        <c:majorGridlines/>
        <c:numFmt formatCode="&quot;$&quot;#,##0" sourceLinked="0"/>
        <c:majorTickMark val="out"/>
        <c:minorTickMark val="none"/>
        <c:tickLblPos val="nextTo"/>
        <c:txPr>
          <a:bodyPr/>
          <a:lstStyle/>
          <a:p>
            <a:pPr>
              <a:defRPr sz="1000" b="0" i="0">
                <a:latin typeface="Times New Roman"/>
                <a:cs typeface="Tahoma" pitchFamily="34" charset="0"/>
              </a:defRPr>
            </a:pPr>
            <a:endParaRPr lang="en-US"/>
          </a:p>
        </c:txPr>
        <c:crossAx val="146655872"/>
        <c:crosses val="autoZero"/>
        <c:crossBetween val="between"/>
      </c:valAx>
    </c:plotArea>
    <c:legend>
      <c:legendPos val="t"/>
      <c:layout>
        <c:manualLayout>
          <c:xMode val="edge"/>
          <c:yMode val="edge"/>
          <c:x val="0.37386981731347002"/>
          <c:y val="5.1085568326947599E-2"/>
          <c:w val="0.34429155211944401"/>
          <c:h val="6.6256478555242596E-2"/>
        </c:manualLayout>
      </c:layout>
      <c:overlay val="1"/>
      <c:txPr>
        <a:bodyPr/>
        <a:lstStyle/>
        <a:p>
          <a:pPr>
            <a:defRPr sz="1000">
              <a:latin typeface="Times New Roman"/>
            </a:defRPr>
          </a:pPr>
          <a:endParaRPr lang="en-US"/>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'Data for PPT'!$B$41</c:f>
              <c:strCache>
                <c:ptCount val="1"/>
                <c:pt idx="0">
                  <c:v>LEED</c:v>
                </c:pt>
              </c:strCache>
            </c:strRef>
          </c:tx>
          <c:spPr>
            <a:solidFill>
              <a:srgbClr val="9BBB59">
                <a:lumMod val="75000"/>
              </a:srgbClr>
            </a:solidFill>
            <a:ln>
              <a:solidFill>
                <a:sysClr val="windowText" lastClr="000000"/>
              </a:solidFill>
            </a:ln>
          </c:spPr>
          <c:invertIfNegative val="0"/>
          <c:cat>
            <c:strRef>
              <c:f>'Data for PPT'!$A$42:$A$55</c:f>
              <c:strCache>
                <c:ptCount val="14"/>
                <c:pt idx="0">
                  <c:v>New York City</c:v>
                </c:pt>
                <c:pt idx="1">
                  <c:v>Washington DC</c:v>
                </c:pt>
                <c:pt idx="2">
                  <c:v>Houston</c:v>
                </c:pt>
                <c:pt idx="3">
                  <c:v>Seattle/Puget Sound</c:v>
                </c:pt>
                <c:pt idx="4">
                  <c:v>Minneapolis/St Paul</c:v>
                </c:pt>
                <c:pt idx="5">
                  <c:v>Boston</c:v>
                </c:pt>
                <c:pt idx="6">
                  <c:v>Denver</c:v>
                </c:pt>
                <c:pt idx="7">
                  <c:v>Chicago</c:v>
                </c:pt>
                <c:pt idx="8">
                  <c:v>Los Angeles</c:v>
                </c:pt>
                <c:pt idx="9">
                  <c:v>San Francisco</c:v>
                </c:pt>
                <c:pt idx="10">
                  <c:v>East Bay/Oakland</c:v>
                </c:pt>
                <c:pt idx="11">
                  <c:v>Atlanta</c:v>
                </c:pt>
                <c:pt idx="12">
                  <c:v>Dallas/Ft Worth</c:v>
                </c:pt>
                <c:pt idx="13">
                  <c:v>Orange (CA)</c:v>
                </c:pt>
              </c:strCache>
            </c:strRef>
          </c:cat>
          <c:val>
            <c:numRef>
              <c:f>'Data for PPT'!$B$42:$B$55</c:f>
              <c:numCache>
                <c:formatCode>0.000</c:formatCode>
                <c:ptCount val="14"/>
                <c:pt idx="0">
                  <c:v>0.95</c:v>
                </c:pt>
                <c:pt idx="1">
                  <c:v>0.78600000000000003</c:v>
                </c:pt>
                <c:pt idx="2">
                  <c:v>0.91600000000000004</c:v>
                </c:pt>
                <c:pt idx="3">
                  <c:v>0.83099999999999996</c:v>
                </c:pt>
                <c:pt idx="4">
                  <c:v>0.95</c:v>
                </c:pt>
                <c:pt idx="5">
                  <c:v>0.90400000000000003</c:v>
                </c:pt>
                <c:pt idx="6">
                  <c:v>0.86799999999999999</c:v>
                </c:pt>
                <c:pt idx="7">
                  <c:v>0.85</c:v>
                </c:pt>
                <c:pt idx="8">
                  <c:v>0.85799999999999998</c:v>
                </c:pt>
                <c:pt idx="9">
                  <c:v>0.88900000000000001</c:v>
                </c:pt>
                <c:pt idx="10">
                  <c:v>0.84</c:v>
                </c:pt>
                <c:pt idx="11">
                  <c:v>0.83499999999999996</c:v>
                </c:pt>
                <c:pt idx="12">
                  <c:v>0.82099999999999995</c:v>
                </c:pt>
                <c:pt idx="13">
                  <c:v>0.80400000000000005</c:v>
                </c:pt>
              </c:numCache>
            </c:numRef>
          </c:val>
        </c:ser>
        <c:ser>
          <c:idx val="1"/>
          <c:order val="1"/>
          <c:tx>
            <c:strRef>
              <c:f>'Data for PPT'!$C$41</c:f>
              <c:strCache>
                <c:ptCount val="1"/>
                <c:pt idx="0">
                  <c:v>Non-LEED</c:v>
                </c:pt>
              </c:strCache>
            </c:strRef>
          </c:tx>
          <c:spPr>
            <a:solidFill>
              <a:srgbClr val="9BBB59">
                <a:lumMod val="20000"/>
                <a:lumOff val="80000"/>
              </a:srgbClr>
            </a:solidFill>
            <a:ln>
              <a:solidFill>
                <a:sysClr val="windowText" lastClr="000000"/>
              </a:solidFill>
            </a:ln>
          </c:spPr>
          <c:invertIfNegative val="0"/>
          <c:cat>
            <c:strRef>
              <c:f>'Data for PPT'!$A$42:$A$55</c:f>
              <c:strCache>
                <c:ptCount val="14"/>
                <c:pt idx="0">
                  <c:v>New York City</c:v>
                </c:pt>
                <c:pt idx="1">
                  <c:v>Washington DC</c:v>
                </c:pt>
                <c:pt idx="2">
                  <c:v>Houston</c:v>
                </c:pt>
                <c:pt idx="3">
                  <c:v>Seattle/Puget Sound</c:v>
                </c:pt>
                <c:pt idx="4">
                  <c:v>Minneapolis/St Paul</c:v>
                </c:pt>
                <c:pt idx="5">
                  <c:v>Boston</c:v>
                </c:pt>
                <c:pt idx="6">
                  <c:v>Denver</c:v>
                </c:pt>
                <c:pt idx="7">
                  <c:v>Chicago</c:v>
                </c:pt>
                <c:pt idx="8">
                  <c:v>Los Angeles</c:v>
                </c:pt>
                <c:pt idx="9">
                  <c:v>San Francisco</c:v>
                </c:pt>
                <c:pt idx="10">
                  <c:v>East Bay/Oakland</c:v>
                </c:pt>
                <c:pt idx="11">
                  <c:v>Atlanta</c:v>
                </c:pt>
                <c:pt idx="12">
                  <c:v>Dallas/Ft Worth</c:v>
                </c:pt>
                <c:pt idx="13">
                  <c:v>Orange (CA)</c:v>
                </c:pt>
              </c:strCache>
            </c:strRef>
          </c:cat>
          <c:val>
            <c:numRef>
              <c:f>'Data for PPT'!$C$42:$C$55</c:f>
              <c:numCache>
                <c:formatCode>0.000</c:formatCode>
                <c:ptCount val="14"/>
                <c:pt idx="0">
                  <c:v>0.94099999999999995</c:v>
                </c:pt>
                <c:pt idx="1">
                  <c:v>0.92700000000000005</c:v>
                </c:pt>
                <c:pt idx="2">
                  <c:v>0.92</c:v>
                </c:pt>
                <c:pt idx="3">
                  <c:v>0.91200000000000003</c:v>
                </c:pt>
                <c:pt idx="4">
                  <c:v>0.90200000000000002</c:v>
                </c:pt>
                <c:pt idx="5">
                  <c:v>0.89600000000000002</c:v>
                </c:pt>
                <c:pt idx="6">
                  <c:v>0.88700000000000001</c:v>
                </c:pt>
                <c:pt idx="7">
                  <c:v>0.878</c:v>
                </c:pt>
                <c:pt idx="8">
                  <c:v>0.876</c:v>
                </c:pt>
                <c:pt idx="9">
                  <c:v>0.875</c:v>
                </c:pt>
                <c:pt idx="10">
                  <c:v>0.85199999999999998</c:v>
                </c:pt>
                <c:pt idx="11">
                  <c:v>0.84399999999999997</c:v>
                </c:pt>
                <c:pt idx="12">
                  <c:v>0.80800000000000005</c:v>
                </c:pt>
                <c:pt idx="13">
                  <c:v>0.78500000000000003</c:v>
                </c:pt>
              </c:numCache>
            </c:numRef>
          </c:val>
        </c:ser>
        <c:dLbls>
          <c:showLegendKey val="0"/>
          <c:showVal val="0"/>
          <c:showCatName val="0"/>
          <c:showSerName val="0"/>
          <c:showPercent val="0"/>
          <c:showBubbleSize val="0"/>
        </c:dLbls>
        <c:gapWidth val="150"/>
        <c:axId val="146686720"/>
        <c:axId val="146688256"/>
      </c:barChart>
      <c:catAx>
        <c:axId val="146686720"/>
        <c:scaling>
          <c:orientation val="minMax"/>
        </c:scaling>
        <c:delete val="0"/>
        <c:axPos val="b"/>
        <c:majorTickMark val="out"/>
        <c:minorTickMark val="none"/>
        <c:tickLblPos val="nextTo"/>
        <c:txPr>
          <a:bodyPr/>
          <a:lstStyle/>
          <a:p>
            <a:pPr>
              <a:defRPr b="0" i="0">
                <a:latin typeface="Times New Roman"/>
                <a:cs typeface="Tahoma" pitchFamily="34" charset="0"/>
              </a:defRPr>
            </a:pPr>
            <a:endParaRPr lang="en-US"/>
          </a:p>
        </c:txPr>
        <c:crossAx val="146688256"/>
        <c:crosses val="autoZero"/>
        <c:auto val="1"/>
        <c:lblAlgn val="ctr"/>
        <c:lblOffset val="100"/>
        <c:noMultiLvlLbl val="0"/>
      </c:catAx>
      <c:valAx>
        <c:axId val="146688256"/>
        <c:scaling>
          <c:orientation val="minMax"/>
          <c:max val="1"/>
          <c:min val="0.6"/>
        </c:scaling>
        <c:delete val="0"/>
        <c:axPos val="l"/>
        <c:majorGridlines/>
        <c:numFmt formatCode="0%" sourceLinked="0"/>
        <c:majorTickMark val="out"/>
        <c:minorTickMark val="none"/>
        <c:tickLblPos val="nextTo"/>
        <c:txPr>
          <a:bodyPr/>
          <a:lstStyle/>
          <a:p>
            <a:pPr>
              <a:defRPr sz="1000" b="0" i="0">
                <a:latin typeface="Times New Roman"/>
                <a:cs typeface="Tahoma" pitchFamily="34" charset="0"/>
              </a:defRPr>
            </a:pPr>
            <a:endParaRPr lang="en-US"/>
          </a:p>
        </c:txPr>
        <c:crossAx val="146686720"/>
        <c:crosses val="autoZero"/>
        <c:crossBetween val="between"/>
        <c:majorUnit val="0.1"/>
      </c:valAx>
    </c:plotArea>
    <c:legend>
      <c:legendPos val="t"/>
      <c:overlay val="1"/>
      <c:txPr>
        <a:bodyPr/>
        <a:lstStyle/>
        <a:p>
          <a:pPr>
            <a:defRPr sz="1000">
              <a:latin typeface="Times New Roman"/>
              <a:cs typeface="Tahoma" pitchFamily="34"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27A5-566D-49A1-9986-79AC16F9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6965</Words>
  <Characters>39705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46577</CharactersWithSpaces>
  <SharedDoc>false</SharedDoc>
  <HLinks>
    <vt:vector size="84" baseType="variant">
      <vt:variant>
        <vt:i4>1114186</vt:i4>
      </vt:variant>
      <vt:variant>
        <vt:i4>54</vt:i4>
      </vt:variant>
      <vt:variant>
        <vt:i4>0</vt:i4>
      </vt:variant>
      <vt:variant>
        <vt:i4>5</vt:i4>
      </vt:variant>
      <vt:variant>
        <vt:lpwstr>http://www.davislangdon.com/USA/</vt:lpwstr>
      </vt:variant>
      <vt:variant>
        <vt:lpwstr/>
      </vt:variant>
      <vt:variant>
        <vt:i4>6291571</vt:i4>
      </vt:variant>
      <vt:variant>
        <vt:i4>51</vt:i4>
      </vt:variant>
      <vt:variant>
        <vt:i4>0</vt:i4>
      </vt:variant>
      <vt:variant>
        <vt:i4>5</vt:i4>
      </vt:variant>
      <vt:variant>
        <vt:lpwstr>http://www.usgbc.org/Docs/News/News477.pdf</vt:lpwstr>
      </vt:variant>
      <vt:variant>
        <vt:lpwstr/>
      </vt:variant>
      <vt:variant>
        <vt:i4>7209046</vt:i4>
      </vt:variant>
      <vt:variant>
        <vt:i4>48</vt:i4>
      </vt:variant>
      <vt:variant>
        <vt:i4>0</vt:i4>
      </vt:variant>
      <vt:variant>
        <vt:i4>5</vt:i4>
      </vt:variant>
      <vt:variant>
        <vt:lpwstr>http://www.globest.com/news/1510_1510/newyork/181437-1.html</vt:lpwstr>
      </vt:variant>
      <vt:variant>
        <vt:lpwstr/>
      </vt:variant>
      <vt:variant>
        <vt:i4>4194315</vt:i4>
      </vt:variant>
      <vt:variant>
        <vt:i4>41</vt:i4>
      </vt:variant>
      <vt:variant>
        <vt:i4>0</vt:i4>
      </vt:variant>
      <vt:variant>
        <vt:i4>5</vt:i4>
      </vt:variant>
      <vt:variant>
        <vt:lpwstr/>
      </vt:variant>
      <vt:variant>
        <vt:lpwstr>_ENREF_15</vt:lpwstr>
      </vt:variant>
      <vt:variant>
        <vt:i4>4390923</vt:i4>
      </vt:variant>
      <vt:variant>
        <vt:i4>35</vt:i4>
      </vt:variant>
      <vt:variant>
        <vt:i4>0</vt:i4>
      </vt:variant>
      <vt:variant>
        <vt:i4>5</vt:i4>
      </vt:variant>
      <vt:variant>
        <vt:lpwstr/>
      </vt:variant>
      <vt:variant>
        <vt:lpwstr>_ENREF_20</vt:lpwstr>
      </vt:variant>
      <vt:variant>
        <vt:i4>4194315</vt:i4>
      </vt:variant>
      <vt:variant>
        <vt:i4>32</vt:i4>
      </vt:variant>
      <vt:variant>
        <vt:i4>0</vt:i4>
      </vt:variant>
      <vt:variant>
        <vt:i4>5</vt:i4>
      </vt:variant>
      <vt:variant>
        <vt:lpwstr/>
      </vt:variant>
      <vt:variant>
        <vt:lpwstr>_ENREF_14</vt:lpwstr>
      </vt:variant>
      <vt:variant>
        <vt:i4>4784139</vt:i4>
      </vt:variant>
      <vt:variant>
        <vt:i4>26</vt:i4>
      </vt:variant>
      <vt:variant>
        <vt:i4>0</vt:i4>
      </vt:variant>
      <vt:variant>
        <vt:i4>5</vt:i4>
      </vt:variant>
      <vt:variant>
        <vt:lpwstr/>
      </vt:variant>
      <vt:variant>
        <vt:lpwstr>_ENREF_8</vt:lpwstr>
      </vt:variant>
      <vt:variant>
        <vt:i4>4194315</vt:i4>
      </vt:variant>
      <vt:variant>
        <vt:i4>20</vt:i4>
      </vt:variant>
      <vt:variant>
        <vt:i4>0</vt:i4>
      </vt:variant>
      <vt:variant>
        <vt:i4>5</vt:i4>
      </vt:variant>
      <vt:variant>
        <vt:lpwstr/>
      </vt:variant>
      <vt:variant>
        <vt:lpwstr>_ENREF_16</vt:lpwstr>
      </vt:variant>
      <vt:variant>
        <vt:i4>4194315</vt:i4>
      </vt:variant>
      <vt:variant>
        <vt:i4>17</vt:i4>
      </vt:variant>
      <vt:variant>
        <vt:i4>0</vt:i4>
      </vt:variant>
      <vt:variant>
        <vt:i4>5</vt:i4>
      </vt:variant>
      <vt:variant>
        <vt:lpwstr/>
      </vt:variant>
      <vt:variant>
        <vt:lpwstr>_ENREF_10</vt:lpwstr>
      </vt:variant>
      <vt:variant>
        <vt:i4>4653067</vt:i4>
      </vt:variant>
      <vt:variant>
        <vt:i4>11</vt:i4>
      </vt:variant>
      <vt:variant>
        <vt:i4>0</vt:i4>
      </vt:variant>
      <vt:variant>
        <vt:i4>5</vt:i4>
      </vt:variant>
      <vt:variant>
        <vt:lpwstr/>
      </vt:variant>
      <vt:variant>
        <vt:lpwstr>_ENREF_6</vt:lpwstr>
      </vt:variant>
      <vt:variant>
        <vt:i4>2686985</vt:i4>
      </vt:variant>
      <vt:variant>
        <vt:i4>6</vt:i4>
      </vt:variant>
      <vt:variant>
        <vt:i4>0</vt:i4>
      </vt:variant>
      <vt:variant>
        <vt:i4>5</vt:i4>
      </vt:variant>
      <vt:variant>
        <vt:lpwstr>mailto:pmorris@davislangdon.us</vt:lpwstr>
      </vt:variant>
      <vt:variant>
        <vt:lpwstr/>
      </vt:variant>
      <vt:variant>
        <vt:i4>2228228</vt:i4>
      </vt:variant>
      <vt:variant>
        <vt:i4>3</vt:i4>
      </vt:variant>
      <vt:variant>
        <vt:i4>0</vt:i4>
      </vt:variant>
      <vt:variant>
        <vt:i4>5</vt:i4>
      </vt:variant>
      <vt:variant>
        <vt:lpwstr>mailto:nmiller@sandiego.edu</vt:lpwstr>
      </vt:variant>
      <vt:variant>
        <vt:lpwstr/>
      </vt:variant>
      <vt:variant>
        <vt:i4>3538957</vt:i4>
      </vt:variant>
      <vt:variant>
        <vt:i4>0</vt:i4>
      </vt:variant>
      <vt:variant>
        <vt:i4>0</vt:i4>
      </vt:variant>
      <vt:variant>
        <vt:i4>5</vt:i4>
      </vt:variant>
      <vt:variant>
        <vt:lpwstr>applewebdata://677DE29E-EB75-4C1B-8026-7509B7084555/n.kok@maastrichtuniversity.nl</vt:lpwstr>
      </vt:variant>
      <vt:variant>
        <vt:lpwstr/>
      </vt:variant>
      <vt:variant>
        <vt:i4>3080247</vt:i4>
      </vt:variant>
      <vt:variant>
        <vt:i4>6</vt:i4>
      </vt:variant>
      <vt:variant>
        <vt:i4>0</vt:i4>
      </vt:variant>
      <vt:variant>
        <vt:i4>5</vt:i4>
      </vt:variant>
      <vt:variant>
        <vt:lpwstr>http://www.davislangdon.com/Global/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Kok</dc:creator>
  <cp:keywords/>
  <dc:description/>
  <cp:lastModifiedBy>USD</cp:lastModifiedBy>
  <cp:revision>2</cp:revision>
  <cp:lastPrinted>2012-09-30T23:43:00Z</cp:lastPrinted>
  <dcterms:created xsi:type="dcterms:W3CDTF">2012-10-01T19:07:00Z</dcterms:created>
  <dcterms:modified xsi:type="dcterms:W3CDTF">2012-10-01T19:07:00Z</dcterms:modified>
</cp:coreProperties>
</file>